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overflowPunct/>
        <w:autoSpaceDE/>
        <w:autoSpaceDN/>
        <w:adjustRightInd/>
        <w:spacing w:before="120" w:after="0" w:line="240" w:lineRule="auto"/>
        <w:jc w:val="left"/>
        <w:textAlignment w:val="auto"/>
        <w:rPr>
          <w:rFonts w:ascii="Arial" w:hAnsi="Arial" w:eastAsia="MS Mincho"/>
          <w:b/>
          <w:sz w:val="24"/>
          <w:szCs w:val="24"/>
          <w:lang w:val="de-DE" w:eastAsia="en-GB"/>
        </w:rPr>
      </w:pPr>
      <w:r>
        <w:rPr>
          <w:rFonts w:ascii="Arial" w:hAnsi="Arial" w:eastAsia="MS Mincho"/>
          <w:b/>
          <w:sz w:val="24"/>
          <w:szCs w:val="24"/>
          <w:lang w:val="de-DE" w:eastAsia="en-GB"/>
        </w:rPr>
        <w:t>3GPP TSG-RAN WG2 Meeting #113 bis electronic</w:t>
      </w:r>
      <w:r>
        <w:rPr>
          <w:rFonts w:ascii="Arial" w:hAnsi="Arial" w:eastAsia="MS Mincho"/>
          <w:b/>
          <w:sz w:val="24"/>
          <w:szCs w:val="24"/>
          <w:lang w:val="de-DE" w:eastAsia="en-GB"/>
        </w:rPr>
        <w:tab/>
      </w:r>
      <w:r>
        <w:rPr>
          <w:rFonts w:ascii="Arial" w:hAnsi="Arial" w:eastAsia="MS Mincho"/>
          <w:b/>
          <w:sz w:val="24"/>
          <w:szCs w:val="24"/>
          <w:lang w:val="de-DE" w:eastAsia="en-GB"/>
        </w:rPr>
        <w:t>R2-2103123</w:t>
      </w:r>
      <w:r>
        <w:rPr>
          <w:rFonts w:ascii="Arial" w:hAnsi="Arial" w:eastAsia="MS Mincho"/>
          <w:b/>
          <w:sz w:val="24"/>
          <w:szCs w:val="24"/>
          <w:lang w:val="de-DE" w:eastAsia="en-GB"/>
        </w:rPr>
        <w:br w:type="textWrapping"/>
      </w:r>
      <w:r>
        <w:rPr>
          <w:rFonts w:ascii="Arial" w:hAnsi="Arial" w:eastAsia="MS Mincho"/>
          <w:b/>
          <w:sz w:val="24"/>
          <w:szCs w:val="24"/>
          <w:lang w:val="de-DE" w:eastAsia="en-GB"/>
        </w:rPr>
        <w:t>Online, April 12 – April 20, 2021</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rPr>
        <w:t>Discussion</w:t>
      </w:r>
      <w:r>
        <w:rPr>
          <w:rFonts w:ascii="Arial" w:hAnsi="Arial" w:cs="Arial"/>
          <w:b/>
          <w:bCs/>
          <w:sz w:val="24"/>
          <w:szCs w:val="24"/>
          <w:lang w:val="en-US" w:eastAsia="en-US"/>
        </w:rPr>
        <w:t xml:space="preserve"> </w:t>
      </w:r>
      <w:r>
        <w:rPr>
          <w:rFonts w:hint="eastAsia" w:ascii="Arial" w:hAnsi="Arial" w:cs="Arial"/>
          <w:b/>
          <w:bCs/>
          <w:sz w:val="24"/>
          <w:szCs w:val="24"/>
          <w:lang w:val="en-US"/>
        </w:rPr>
        <w:t>of</w:t>
      </w:r>
      <w:r>
        <w:rPr>
          <w:rFonts w:ascii="Arial" w:hAnsi="Arial" w:cs="Arial"/>
          <w:b/>
          <w:bCs/>
          <w:sz w:val="24"/>
          <w:szCs w:val="24"/>
          <w:lang w:val="en-US" w:eastAsia="en-US"/>
        </w:rPr>
        <w:t xml:space="preserve"> </w:t>
      </w:r>
      <w:r>
        <w:rPr>
          <w:rFonts w:ascii="Arial" w:hAnsi="Arial" w:cs="Arial"/>
          <w:b/>
          <w:bCs/>
          <w:sz w:val="24"/>
          <w:szCs w:val="24"/>
          <w:lang w:val="en-US"/>
        </w:rPr>
        <w:t>NR Non-Public Network enhancements</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w:t>
      </w:r>
      <w:r>
        <w:rPr>
          <w:rFonts w:hint="eastAsia" w:ascii="Arial" w:hAnsi="Arial" w:cs="Arial"/>
          <w:b/>
          <w:bCs/>
          <w:sz w:val="24"/>
          <w:szCs w:val="24"/>
          <w:lang w:val="en-US"/>
        </w:rPr>
        <w:t>16</w:t>
      </w:r>
      <w:r>
        <w:rPr>
          <w:rFonts w:ascii="Arial" w:hAnsi="Arial" w:cs="Arial"/>
          <w:b/>
          <w:bCs/>
          <w:sz w:val="24"/>
          <w:szCs w:val="24"/>
          <w:lang w:val="en-US" w:eastAsia="en-US"/>
        </w:rPr>
        <w:t>.</w:t>
      </w:r>
      <w:r>
        <w:rPr>
          <w:rFonts w:hint="eastAsia" w:ascii="Arial" w:hAnsi="Arial" w:cs="Arial"/>
          <w:b/>
          <w:bCs/>
          <w:sz w:val="24"/>
          <w:szCs w:val="24"/>
          <w:lang w:val="en-US"/>
        </w:rPr>
        <w:t>2</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0" w:name="_Ref165266342"/>
      <w:r>
        <w:t>Introduction</w:t>
      </w:r>
      <w:bookmarkEnd w:id="0"/>
    </w:p>
    <w:p>
      <w:pPr>
        <w:rPr>
          <w:sz w:val="21"/>
          <w:szCs w:val="18"/>
          <w:lang w:val="en-US"/>
        </w:rPr>
      </w:pPr>
      <w:r>
        <w:rPr>
          <w:rFonts w:hint="eastAsia"/>
          <w:sz w:val="21"/>
          <w:szCs w:val="18"/>
          <w:lang w:val="en-US" w:eastAsia="zh-CN"/>
        </w:rPr>
        <w:t xml:space="preserve">In </w:t>
      </w:r>
      <w:r>
        <w:rPr>
          <w:rFonts w:hint="eastAsia"/>
          <w:sz w:val="21"/>
          <w:szCs w:val="18"/>
          <w:lang w:val="en-US"/>
        </w:rPr>
        <w:t>R17 NPN</w:t>
      </w:r>
      <w:r>
        <w:rPr>
          <w:rFonts w:hint="eastAsia"/>
          <w:sz w:val="21"/>
          <w:szCs w:val="18"/>
          <w:lang w:val="en-US" w:eastAsia="zh-CN"/>
        </w:rPr>
        <w:t>, RAN</w:t>
      </w:r>
      <w:r>
        <w:rPr>
          <w:sz w:val="21"/>
          <w:szCs w:val="18"/>
          <w:lang w:val="en-US"/>
        </w:rPr>
        <w:t xml:space="preserve"> is</w:t>
      </w:r>
      <w:r>
        <w:rPr>
          <w:rFonts w:hint="eastAsia"/>
          <w:sz w:val="21"/>
          <w:szCs w:val="18"/>
          <w:lang w:val="en-US"/>
        </w:rPr>
        <w:t xml:space="preserve"> aim at</w:t>
      </w:r>
      <w:r>
        <w:rPr>
          <w:sz w:val="21"/>
          <w:szCs w:val="18"/>
          <w:lang w:val="en-US"/>
        </w:rPr>
        <w:t xml:space="preserve"> to support enhanced non-public network (eNPN) </w:t>
      </w:r>
      <w:r>
        <w:rPr>
          <w:rFonts w:hint="eastAsia"/>
          <w:sz w:val="21"/>
          <w:szCs w:val="18"/>
          <w:lang w:val="en-US" w:eastAsia="zh-CN"/>
        </w:rPr>
        <w:t>based on</w:t>
      </w:r>
      <w:r>
        <w:rPr>
          <w:sz w:val="21"/>
          <w:szCs w:val="18"/>
          <w:lang w:val="en-US"/>
        </w:rPr>
        <w:t xml:space="preserve"> </w:t>
      </w:r>
      <w:r>
        <w:rPr>
          <w:rFonts w:hint="eastAsia"/>
          <w:sz w:val="21"/>
          <w:szCs w:val="18"/>
          <w:lang w:val="en-US"/>
        </w:rPr>
        <w:t>SA</w:t>
      </w:r>
      <w:r>
        <w:rPr>
          <w:sz w:val="21"/>
          <w:szCs w:val="18"/>
          <w:lang w:val="en-US"/>
        </w:rPr>
        <w:t xml:space="preserve">2 </w:t>
      </w:r>
      <w:r>
        <w:rPr>
          <w:rFonts w:hint="eastAsia"/>
          <w:sz w:val="21"/>
          <w:szCs w:val="18"/>
          <w:lang w:val="en-US" w:eastAsia="zh-CN"/>
        </w:rPr>
        <w:t>conclusion of eNPN</w:t>
      </w:r>
      <w:r>
        <w:rPr>
          <w:rFonts w:hint="eastAsia"/>
          <w:sz w:val="21"/>
          <w:szCs w:val="18"/>
          <w:lang w:val="en-US"/>
        </w:rPr>
        <w:t>.</w:t>
      </w:r>
      <w:r>
        <w:rPr>
          <w:sz w:val="21"/>
          <w:szCs w:val="18"/>
          <w:lang w:val="en-US"/>
        </w:rPr>
        <w:t xml:space="preserve"> </w:t>
      </w:r>
      <w:r>
        <w:rPr>
          <w:rFonts w:hint="eastAsia"/>
          <w:sz w:val="21"/>
          <w:szCs w:val="18"/>
          <w:lang w:val="en-US"/>
        </w:rPr>
        <w:t>One of</w:t>
      </w:r>
      <w:r>
        <w:rPr>
          <w:sz w:val="21"/>
          <w:szCs w:val="18"/>
          <w:lang w:val="en-US"/>
        </w:rPr>
        <w:t xml:space="preserve"> RAN objective is to specify the corresponding RAN functionality</w:t>
      </w:r>
      <w:r>
        <w:rPr>
          <w:rFonts w:hint="eastAsia"/>
          <w:sz w:val="21"/>
          <w:szCs w:val="18"/>
          <w:lang w:val="en-US"/>
        </w:rPr>
        <w:t xml:space="preserve"> as following:</w:t>
      </w:r>
    </w:p>
    <w:p>
      <w:pPr>
        <w:numPr>
          <w:ilvl w:val="0"/>
          <w:numId w:val="7"/>
        </w:numPr>
        <w:ind w:right="-99"/>
        <w:rPr>
          <w:lang w:val="en-US"/>
        </w:rPr>
      </w:pPr>
      <w:r>
        <w:rPr>
          <w:lang w:val="en-US"/>
        </w:rPr>
        <w:t>Support</w:t>
      </w:r>
      <w:r>
        <w:t xml:space="preserve"> SNPN along with subscription / credentials owned by an entity separate from the SNPN including:</w:t>
      </w:r>
    </w:p>
    <w:p>
      <w:pPr>
        <w:numPr>
          <w:ilvl w:val="1"/>
          <w:numId w:val="7"/>
        </w:numPr>
        <w:ind w:right="-99"/>
      </w:pPr>
      <w:r>
        <w:t>T</w:t>
      </w:r>
      <w:r>
        <w:rPr>
          <w:rFonts w:hint="eastAsia"/>
        </w:rPr>
        <w:t>he</w:t>
      </w:r>
      <w:r>
        <w:t xml:space="preserve"> </w:t>
      </w:r>
      <w:r>
        <w:rPr>
          <w:rFonts w:hint="eastAsia"/>
        </w:rPr>
        <w:t>broadcasting</w:t>
      </w:r>
      <w:r>
        <w:t xml:space="preserve"> of information </w:t>
      </w:r>
      <w:r>
        <w:rPr>
          <w:rFonts w:hint="eastAsia"/>
        </w:rPr>
        <w:t>to</w:t>
      </w:r>
      <w:r>
        <w:t xml:space="preserve"> </w:t>
      </w:r>
      <w:r>
        <w:rPr>
          <w:rFonts w:hint="eastAsia"/>
        </w:rPr>
        <w:t>enable</w:t>
      </w:r>
      <w:r>
        <w:t xml:space="preserve"> </w:t>
      </w:r>
      <w:r>
        <w:rPr>
          <w:rFonts w:hint="eastAsia"/>
        </w:rPr>
        <w:t>SNPN</w:t>
      </w:r>
      <w:r>
        <w:t xml:space="preserve"> </w:t>
      </w:r>
      <w:r>
        <w:rPr>
          <w:rFonts w:hint="eastAsia"/>
        </w:rPr>
        <w:t>selection</w:t>
      </w:r>
      <w:r>
        <w:t xml:space="preserve"> </w:t>
      </w:r>
      <w:r>
        <w:rPr>
          <w:rFonts w:hint="eastAsia"/>
        </w:rPr>
        <w:t>for</w:t>
      </w:r>
      <w:r>
        <w:t xml:space="preserve"> </w:t>
      </w:r>
      <w:r>
        <w:rPr>
          <w:rFonts w:hint="eastAsia"/>
        </w:rPr>
        <w:t>UEs</w:t>
      </w:r>
      <w:r>
        <w:t xml:space="preserve"> </w:t>
      </w:r>
      <w:r>
        <w:rPr>
          <w:rFonts w:hint="eastAsia"/>
        </w:rPr>
        <w:t>with</w:t>
      </w:r>
      <w:r>
        <w:t xml:space="preserve"> </w:t>
      </w:r>
      <w:r>
        <w:rPr>
          <w:rFonts w:hint="eastAsia"/>
        </w:rPr>
        <w:t>subscription</w:t>
      </w:r>
      <w:r>
        <w:t>/credentials owned by an entity separate from the SNPN [RAN2]</w:t>
      </w:r>
    </w:p>
    <w:p>
      <w:pPr>
        <w:numPr>
          <w:ilvl w:val="1"/>
          <w:numId w:val="7"/>
        </w:numPr>
        <w:ind w:right="-99"/>
        <w:rPr>
          <w:lang w:val="en-US"/>
        </w:rPr>
      </w:pPr>
      <w:r>
        <w:rPr>
          <w:rFonts w:hint="eastAsia"/>
        </w:rPr>
        <w:t>T</w:t>
      </w:r>
      <w:r>
        <w:t xml:space="preserve">he associated cell selection/reselection and </w:t>
      </w:r>
      <w:r>
        <w:rPr>
          <w:lang w:val="en-US"/>
        </w:rPr>
        <w:t xml:space="preserve">connected </w:t>
      </w:r>
      <w:r>
        <w:t>mode mobility support</w:t>
      </w:r>
      <w:r>
        <w:rPr>
          <w:color w:val="FF0000"/>
        </w:rPr>
        <w:t xml:space="preserve"> </w:t>
      </w:r>
      <w:r>
        <w:t>[RAN2/RAN3]</w:t>
      </w:r>
    </w:p>
    <w:p>
      <w:pPr>
        <w:numPr>
          <w:ilvl w:val="1"/>
          <w:numId w:val="7"/>
        </w:numPr>
        <w:ind w:right="-99"/>
        <w:rPr>
          <w:lang w:val="en-US"/>
        </w:rPr>
      </w:pPr>
      <w:r>
        <w:rPr>
          <w:lang w:val="en-US"/>
        </w:rPr>
        <w:t>T</w:t>
      </w:r>
      <w:r>
        <w:rPr>
          <w:rFonts w:hint="eastAsia"/>
          <w:lang w:val="en-US"/>
        </w:rPr>
        <w:t>he</w:t>
      </w:r>
      <w:r>
        <w:rPr>
          <w:lang w:val="en-US"/>
        </w:rPr>
        <w:t xml:space="preserve"> necessary modifications over network interfaces (e.g. NG, Xn, F1, E1 etc) [RAN3]</w:t>
      </w:r>
    </w:p>
    <w:p>
      <w:pPr>
        <w:rPr>
          <w:szCs w:val="22"/>
          <w:lang w:val="en-US"/>
        </w:rPr>
      </w:pPr>
      <w:r>
        <w:rPr>
          <w:rFonts w:hint="eastAsia"/>
          <w:szCs w:val="22"/>
          <w:lang w:val="en-US"/>
        </w:rPr>
        <w:t>In this contribution, we will analyze the possible RAN enhancement to support SNPN with subscription or credentials by a separate entity.</w:t>
      </w:r>
    </w:p>
    <w:p>
      <w:pPr>
        <w:pStyle w:val="2"/>
        <w:jc w:val="left"/>
      </w:pPr>
      <w:r>
        <w:rPr>
          <w:rFonts w:hint="eastAsia"/>
        </w:rPr>
        <w:t>Discussion</w:t>
      </w:r>
    </w:p>
    <w:p>
      <w:r>
        <w:t xml:space="preserve">In RAN2#113e, the following agreements were made regarding broadcasting parameters: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9"/>
              <w:tabs>
                <w:tab w:val="left" w:pos="1619"/>
                <w:tab w:val="left" w:pos="9990"/>
                <w:tab w:val="clear" w:pos="1440"/>
              </w:tabs>
              <w:ind w:left="1619"/>
            </w:pPr>
            <w:r>
              <w:t>A new indicator that "access using credentials from a separate entity is supported" is broadcasted, and the indicator is broadcasted per SNPN in network sharing scenarios.</w:t>
            </w:r>
          </w:p>
          <w:p>
            <w:pPr>
              <w:pStyle w:val="79"/>
              <w:tabs>
                <w:tab w:val="left" w:pos="1619"/>
                <w:tab w:val="left" w:pos="9990"/>
                <w:tab w:val="clear" w:pos="1440"/>
              </w:tabs>
              <w:ind w:left="1619"/>
            </w:pPr>
            <w:r>
              <w:rPr>
                <w:bCs/>
              </w:rPr>
              <w:t xml:space="preserve">RAN2 assumes that </w:t>
            </w:r>
            <w:r>
              <w:t xml:space="preserve">the new indicator that "access using credentials from a separate entity is supported" is broadcasted in SIB1. </w:t>
            </w:r>
          </w:p>
          <w:p>
            <w:pPr>
              <w:pStyle w:val="79"/>
              <w:tabs>
                <w:tab w:val="left" w:pos="1619"/>
                <w:tab w:val="left" w:pos="9990"/>
                <w:tab w:val="clear" w:pos="1440"/>
              </w:tabs>
              <w:ind w:left="1619"/>
            </w:pPr>
            <w:r>
              <w:t>The supported Group IDs are broadcasted</w:t>
            </w:r>
          </w:p>
          <w:p>
            <w:pPr>
              <w:pStyle w:val="79"/>
              <w:tabs>
                <w:tab w:val="left" w:pos="1619"/>
                <w:tab w:val="left" w:pos="9990"/>
                <w:tab w:val="clear" w:pos="1440"/>
              </w:tabs>
              <w:ind w:left="1619"/>
            </w:pPr>
            <w:r>
              <w:t>A new indicator that "whether the SNPN allows registration attempts from UEs that are not explicitly configured to select the SNPN" is broadcasted, and the indicator is broadcasted per SNPN in network sharing scenario.</w:t>
            </w:r>
          </w:p>
          <w:p>
            <w:pPr>
              <w:pStyle w:val="79"/>
              <w:tabs>
                <w:tab w:val="left" w:pos="1619"/>
                <w:tab w:val="left" w:pos="9990"/>
                <w:tab w:val="clear" w:pos="1440"/>
              </w:tabs>
              <w:ind w:left="1619"/>
            </w:pPr>
            <w:r>
              <w:t>RAN2 assumes that the new indicator that "whether the SNPN allows registration attempts from UEs that are not explicitly configured to select the SNPN" is broadcasted in SIB1.</w:t>
            </w:r>
          </w:p>
        </w:tc>
      </w:tr>
    </w:tbl>
    <w:p/>
    <w:p>
      <w:r>
        <w:t xml:space="preserve">It can be found that the broadcasting parameters above are </w:t>
      </w:r>
      <w:r>
        <w:rPr>
          <w:rFonts w:hint="eastAsia"/>
          <w:lang w:val="en-US" w:eastAsia="zh-CN"/>
        </w:rPr>
        <w:t>used</w:t>
      </w:r>
      <w:r>
        <w:t xml:space="preserve"> for SNPN selection. </w:t>
      </w:r>
      <w:r>
        <w:rPr>
          <w:rFonts w:hint="eastAsia"/>
          <w:lang w:val="en-US" w:eastAsia="zh-CN"/>
        </w:rPr>
        <w:t>Based on the design principle of SIB, different SIBs are used to support different function, e.g. SIB2 is used to assist cell re-selection. As SIB1 is designed to control network selection and cell access, it is reas onable that the indication for onboarding should be put in SIB1. Moreover, if this indication is put in the SIB other than SIB1, the acquisition of this indication will be delayed as the other SIBs carrying in SI message are transmitted by NW periodically. Thus, it is proposed to</w:t>
      </w:r>
      <w:r>
        <w:t xml:space="preserve">confirm that these parameters </w:t>
      </w:r>
      <w:r>
        <w:rPr>
          <w:rFonts w:hint="eastAsia"/>
          <w:lang w:val="en-US" w:eastAsia="zh-CN"/>
        </w:rPr>
        <w:t>is broadcast</w:t>
      </w:r>
      <w:r>
        <w:t xml:space="preserve"> in SIB1.</w:t>
      </w:r>
    </w:p>
    <w:p>
      <w:pPr>
        <w:rPr>
          <w:b/>
          <w:bCs/>
          <w:lang w:val="en-US"/>
        </w:rPr>
      </w:pPr>
      <w:bookmarkStart w:id="1" w:name="OLE_LINK1"/>
      <w:r>
        <w:rPr>
          <w:b/>
          <w:bCs/>
          <w:lang w:val="en-US"/>
        </w:rPr>
        <w:t xml:space="preserve">Proposal 1: </w:t>
      </w:r>
      <w:r>
        <w:rPr>
          <w:rFonts w:hint="eastAsia"/>
          <w:b/>
          <w:bCs/>
          <w:lang w:val="en-US"/>
        </w:rPr>
        <w:t>RAN</w:t>
      </w:r>
      <w:r>
        <w:rPr>
          <w:b/>
          <w:bCs/>
          <w:lang w:val="en-US"/>
        </w:rPr>
        <w:t xml:space="preserve">2 </w:t>
      </w:r>
      <w:r>
        <w:rPr>
          <w:rFonts w:hint="eastAsia"/>
          <w:b/>
          <w:bCs/>
          <w:lang w:val="en-US"/>
        </w:rPr>
        <w:t>confirm</w:t>
      </w:r>
      <w:r>
        <w:rPr>
          <w:b/>
          <w:bCs/>
          <w:lang w:val="en-US"/>
        </w:rPr>
        <w:t xml:space="preserve">s </w:t>
      </w:r>
      <w:r>
        <w:rPr>
          <w:rFonts w:hint="eastAsia"/>
          <w:b/>
          <w:bCs/>
          <w:lang w:val="en-US"/>
        </w:rPr>
        <w:t>that</w:t>
      </w:r>
      <w:r>
        <w:rPr>
          <w:b/>
          <w:bCs/>
          <w:lang w:val="en-US"/>
        </w:rPr>
        <w:t xml:space="preserve"> </w:t>
      </w:r>
      <w:r>
        <w:rPr>
          <w:rFonts w:hint="eastAsia"/>
          <w:b/>
          <w:bCs/>
          <w:lang w:val="en-US"/>
        </w:rPr>
        <w:t>f</w:t>
      </w:r>
      <w:r>
        <w:rPr>
          <w:b/>
          <w:bCs/>
          <w:lang w:val="en-US"/>
        </w:rPr>
        <w:t xml:space="preserve">or each SNPN cell, the following </w:t>
      </w:r>
      <w:r>
        <w:rPr>
          <w:rFonts w:eastAsiaTheme="minorEastAsia"/>
          <w:b/>
        </w:rPr>
        <w:t xml:space="preserve">parameters </w:t>
      </w:r>
      <w:r>
        <w:rPr>
          <w:rFonts w:hint="eastAsia" w:eastAsiaTheme="minorEastAsia"/>
          <w:b/>
          <w:lang w:val="en-US" w:eastAsia="zh-CN"/>
        </w:rPr>
        <w:t>is broadcasted</w:t>
      </w:r>
      <w:r>
        <w:rPr>
          <w:b/>
          <w:bCs/>
          <w:lang w:val="en-US"/>
        </w:rPr>
        <w:t xml:space="preserve"> in SIB1:</w:t>
      </w:r>
    </w:p>
    <w:p>
      <w:pPr>
        <w:numPr>
          <w:ilvl w:val="0"/>
          <w:numId w:val="8"/>
        </w:numPr>
        <w:rPr>
          <w:b/>
          <w:bCs/>
          <w:lang w:val="en-US"/>
        </w:rPr>
      </w:pPr>
      <w:r>
        <w:rPr>
          <w:b/>
          <w:bCs/>
          <w:lang w:val="en-US"/>
        </w:rPr>
        <w:t>Indication that "access using credentials from a separate entity is supported"</w:t>
      </w:r>
    </w:p>
    <w:p>
      <w:pPr>
        <w:numPr>
          <w:ilvl w:val="0"/>
          <w:numId w:val="8"/>
        </w:numPr>
        <w:rPr>
          <w:b/>
          <w:bCs/>
          <w:lang w:val="en-US"/>
        </w:rPr>
      </w:pPr>
      <w:r>
        <w:rPr>
          <w:b/>
          <w:bCs/>
          <w:lang w:val="en-US"/>
        </w:rPr>
        <w:t>Optionally, supported Group IDs (GIDs)</w:t>
      </w:r>
    </w:p>
    <w:p>
      <w:pPr>
        <w:numPr>
          <w:ilvl w:val="0"/>
          <w:numId w:val="8"/>
        </w:numPr>
        <w:rPr>
          <w:b/>
          <w:bCs/>
          <w:lang w:val="en-US"/>
        </w:rPr>
      </w:pPr>
      <w:r>
        <w:rPr>
          <w:b/>
          <w:bCs/>
          <w:lang w:val="en-US"/>
        </w:rPr>
        <w:t>Optionally, an indication whether the SNPN allows registration attempts from UEs that are not explicitly configured to select the SNPN</w:t>
      </w:r>
    </w:p>
    <w:bookmarkEnd w:id="1"/>
    <w:p>
      <w:pPr>
        <w:rPr>
          <w:color w:val="000000" w:themeColor="text1"/>
          <w14:textFill>
            <w14:solidFill>
              <w14:schemeClr w14:val="tx1"/>
            </w14:solidFill>
          </w14:textFill>
        </w:rPr>
      </w:pPr>
      <w:r>
        <w:rPr>
          <w:color w:val="000000" w:themeColor="text1"/>
          <w14:textFill>
            <w14:solidFill>
              <w14:schemeClr w14:val="tx1"/>
            </w14:solidFill>
          </w14:textFill>
        </w:rPr>
        <w:t xml:space="preserve">For convenience,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 xml:space="preserve">e use a shortened name </w:t>
      </w:r>
      <w:r>
        <w:rPr>
          <w:i/>
          <w:iCs/>
          <w:color w:val="000000" w:themeColor="text1"/>
          <w14:textFill>
            <w14:solidFill>
              <w14:schemeClr w14:val="tx1"/>
            </w14:solidFill>
          </w14:textFill>
        </w:rPr>
        <w:t>externalCredentialsSupport</w:t>
      </w:r>
      <w:r>
        <w:rPr>
          <w:color w:val="000000" w:themeColor="text1"/>
          <w14:textFill>
            <w14:solidFill>
              <w14:schemeClr w14:val="tx1"/>
            </w14:solidFill>
          </w14:textFill>
        </w:rPr>
        <w:t xml:space="preserve"> instead of indication that "access using credentials from a separate entity is supported", and use a shortened name</w:t>
      </w:r>
      <w:r>
        <w:rPr>
          <w:i/>
          <w:iCs/>
          <w:color w:val="000000" w:themeColor="text1"/>
          <w14:textFill>
            <w14:solidFill>
              <w14:schemeClr w14:val="tx1"/>
            </w14:solidFill>
          </w14:textFill>
        </w:rPr>
        <w:t xml:space="preserve"> opportunisticRegAttemptsAllowed</w:t>
      </w:r>
      <w:r>
        <w:rPr>
          <w:color w:val="000000" w:themeColor="text1"/>
          <w14:textFill>
            <w14:solidFill>
              <w14:schemeClr w14:val="tx1"/>
            </w14:solidFill>
          </w14:textFill>
        </w:rPr>
        <w:t xml:space="preserve"> for an indication whether the SNPN allows registration attempts from UEs that are not explicitly configured to select the SNPN. Next, we will use</w:t>
      </w:r>
      <w:r>
        <w:rPr>
          <w:i/>
          <w:iCs/>
          <w:color w:val="000000" w:themeColor="text1"/>
          <w14:textFill>
            <w14:solidFill>
              <w14:schemeClr w14:val="tx1"/>
            </w14:solidFill>
          </w14:textFill>
        </w:rPr>
        <w:t xml:space="preserve"> externalCredentialsSupport</w:t>
      </w:r>
      <w:r>
        <w:rPr>
          <w:color w:val="000000" w:themeColor="text1"/>
          <w14:textFill>
            <w14:solidFill>
              <w14:schemeClr w14:val="tx1"/>
            </w14:solidFill>
          </w14:textFill>
        </w:rPr>
        <w:t xml:space="preserve"> as an example to illustrate </w:t>
      </w:r>
      <w:r>
        <w:rPr>
          <w:rFonts w:hint="eastAsia"/>
          <w:lang w:val="en-US"/>
        </w:rPr>
        <w:t>h</w:t>
      </w:r>
      <w:r>
        <w:rPr>
          <w:lang w:val="en-US"/>
        </w:rPr>
        <w:t>ow the network broadcasts</w:t>
      </w:r>
      <w:r>
        <w:t xml:space="preserve"> these parameters</w:t>
      </w:r>
      <w:r>
        <w:rPr>
          <w:color w:val="000000" w:themeColor="text1"/>
          <w14:textFill>
            <w14:solidFill>
              <w14:schemeClr w14:val="tx1"/>
            </w14:solidFill>
          </w14:textFill>
        </w:rPr>
        <w:t xml:space="preserve">, approach of broadcasting of </w:t>
      </w:r>
      <w:bookmarkStart w:id="2" w:name="_Hlk68031218"/>
      <w:r>
        <w:rPr>
          <w:i/>
          <w:iCs/>
          <w:color w:val="000000" w:themeColor="text1"/>
          <w14:textFill>
            <w14:solidFill>
              <w14:schemeClr w14:val="tx1"/>
            </w14:solidFill>
          </w14:textFill>
        </w:rPr>
        <w:t>opportunisticRegAttemptsAllowed</w:t>
      </w:r>
      <w:bookmarkEnd w:id="2"/>
      <w:r>
        <w:rPr>
          <w:i/>
          <w:iCs/>
          <w:color w:val="000000" w:themeColor="text1"/>
          <w14:textFill>
            <w14:solidFill>
              <w14:schemeClr w14:val="tx1"/>
            </w14:solidFill>
          </w14:textFill>
        </w:rPr>
        <w:t xml:space="preserve"> </w:t>
      </w:r>
      <w:r>
        <w:rPr>
          <w:color w:val="000000" w:themeColor="text1"/>
          <w14:textFill>
            <w14:solidFill>
              <w14:schemeClr w14:val="tx1"/>
            </w14:solidFill>
          </w14:textFill>
        </w:rPr>
        <w:t>and supported Group IDs can be analogous to</w:t>
      </w:r>
      <w:r>
        <w:rPr>
          <w:i/>
          <w:iCs/>
          <w:color w:val="000000" w:themeColor="text1"/>
          <w14:textFill>
            <w14:solidFill>
              <w14:schemeClr w14:val="tx1"/>
            </w14:solidFill>
          </w14:textFill>
        </w:rPr>
        <w:t xml:space="preserve"> externalCredentialsSupport</w:t>
      </w:r>
      <w:r>
        <w:rPr>
          <w:color w:val="000000" w:themeColor="text1"/>
          <w14:textFill>
            <w14:solidFill>
              <w14:schemeClr w14:val="tx1"/>
            </w14:solidFill>
          </w14:textFill>
        </w:rPr>
        <w:t>.</w:t>
      </w:r>
    </w:p>
    <w:p>
      <w:pPr>
        <w:rPr>
          <w:szCs w:val="24"/>
        </w:rPr>
      </w:pPr>
      <w:r>
        <w:rPr>
          <w:rFonts w:hint="eastAsia"/>
          <w:lang w:val="en-US" w:eastAsia="zh-CN"/>
        </w:rPr>
        <w:t xml:space="preserve">RAN2 has agreed that </w:t>
      </w:r>
      <w:r>
        <w:rPr>
          <w:lang w:val="en-US"/>
        </w:rPr>
        <w:t xml:space="preserve">the </w:t>
      </w:r>
      <w:r>
        <w:rPr>
          <w:i/>
          <w:iCs/>
          <w:color w:val="000000" w:themeColor="text1"/>
          <w14:textFill>
            <w14:solidFill>
              <w14:schemeClr w14:val="tx1"/>
            </w14:solidFill>
          </w14:textFill>
        </w:rPr>
        <w:t>externalCredentialsSupport</w:t>
      </w:r>
      <w:r>
        <w:rPr>
          <w:lang w:val="en-US"/>
        </w:rPr>
        <w:t xml:space="preserve"> is broadcast per SNPN</w:t>
      </w:r>
      <w:r>
        <w:rPr>
          <w:rFonts w:hint="eastAsia"/>
          <w:lang w:val="en-US" w:eastAsia="zh-CN"/>
        </w:rPr>
        <w:t>. There are two options to</w:t>
      </w:r>
      <w:r>
        <w:t xml:space="preserve"> </w:t>
      </w:r>
      <w:r>
        <w:rPr>
          <w:lang w:val="en-US"/>
        </w:rPr>
        <w:t xml:space="preserve">associates an </w:t>
      </w:r>
      <w:r>
        <w:rPr>
          <w:i/>
          <w:iCs/>
          <w:color w:val="000000" w:themeColor="text1"/>
          <w14:textFill>
            <w14:solidFill>
              <w14:schemeClr w14:val="tx1"/>
            </w14:solidFill>
          </w14:textFill>
        </w:rPr>
        <w:t>externalCredentialsSupport</w:t>
      </w:r>
      <w:r>
        <w:t xml:space="preserve"> with </w:t>
      </w:r>
      <w:r>
        <w:rPr>
          <w:rFonts w:hint="eastAsia"/>
          <w:lang w:val="en-US" w:eastAsia="zh-CN"/>
        </w:rPr>
        <w:t>its corresponding SNPN</w:t>
      </w:r>
      <w:r>
        <w:rPr>
          <w:szCs w:val="24"/>
        </w:rPr>
        <w:t>:</w:t>
      </w:r>
    </w:p>
    <w:p>
      <w:pPr>
        <w:numPr>
          <w:ilvl w:val="0"/>
          <w:numId w:val="9"/>
        </w:numPr>
        <w:rPr>
          <w:lang w:val="en-US"/>
        </w:rPr>
      </w:pPr>
      <w:r>
        <w:rPr>
          <w:lang w:val="en-US"/>
        </w:rPr>
        <w:t>O</w:t>
      </w:r>
      <w:r>
        <w:rPr>
          <w:rFonts w:hint="eastAsia"/>
          <w:lang w:val="en-US"/>
        </w:rPr>
        <w:t>ption</w:t>
      </w:r>
      <w:r>
        <w:rPr>
          <w:lang w:val="en-US"/>
        </w:rPr>
        <w:t xml:space="preserve"> </w:t>
      </w:r>
      <w:r>
        <w:rPr>
          <w:rFonts w:hint="eastAsia"/>
          <w:lang w:val="en-US" w:eastAsia="zh-CN"/>
        </w:rPr>
        <w:t>1</w:t>
      </w:r>
      <w:r>
        <w:rPr>
          <w:rFonts w:hint="eastAsia"/>
          <w:lang w:val="en-US"/>
        </w:rPr>
        <w:t>:</w:t>
      </w:r>
      <w:r>
        <w:rPr>
          <w:lang w:val="en-US"/>
        </w:rPr>
        <w:t xml:space="preserve"> </w:t>
      </w:r>
      <w:r>
        <w:t xml:space="preserve">Associate the </w:t>
      </w:r>
      <w:r>
        <w:rPr>
          <w:rFonts w:hint="eastAsia"/>
          <w:lang w:val="en-US"/>
        </w:rPr>
        <w:t>above</w:t>
      </w:r>
      <w:r>
        <w:rPr>
          <w:lang w:val="en-US"/>
        </w:rPr>
        <w:t xml:space="preserve"> </w:t>
      </w:r>
      <w:r>
        <w:rPr>
          <w:rFonts w:hint="eastAsia"/>
          <w:lang w:val="en-US"/>
        </w:rPr>
        <w:t>parameters</w:t>
      </w:r>
      <w:r>
        <w:t xml:space="preserve"> and the SNPN ID explicitly</w:t>
      </w:r>
      <w:r>
        <w:rPr>
          <w:rFonts w:hint="eastAsia"/>
        </w:rPr>
        <w:t>;</w:t>
      </w:r>
    </w:p>
    <w:p>
      <w:pPr>
        <w:numPr>
          <w:ilvl w:val="0"/>
          <w:numId w:val="9"/>
        </w:numPr>
        <w:rPr>
          <w:lang w:val="en-US"/>
        </w:rPr>
      </w:pPr>
      <w:r>
        <w:rPr>
          <w:lang w:val="en-US"/>
        </w:rPr>
        <w:t>O</w:t>
      </w:r>
      <w:r>
        <w:rPr>
          <w:rFonts w:hint="eastAsia"/>
          <w:lang w:val="en-US"/>
        </w:rPr>
        <w:t>ption</w:t>
      </w:r>
      <w:r>
        <w:rPr>
          <w:lang w:val="en-US"/>
        </w:rPr>
        <w:t xml:space="preserve"> </w:t>
      </w:r>
      <w:r>
        <w:rPr>
          <w:rFonts w:hint="eastAsia"/>
          <w:lang w:val="en-US" w:eastAsia="zh-CN"/>
        </w:rPr>
        <w:t>2</w:t>
      </w:r>
      <w:r>
        <w:rPr>
          <w:rFonts w:hint="eastAsia"/>
          <w:lang w:val="en-US"/>
        </w:rPr>
        <w:t>:</w:t>
      </w:r>
      <w:r>
        <w:t xml:space="preserve"> Associate the </w:t>
      </w:r>
      <w:r>
        <w:rPr>
          <w:rFonts w:hint="eastAsia"/>
          <w:lang w:val="en-US"/>
        </w:rPr>
        <w:t>above</w:t>
      </w:r>
      <w:r>
        <w:rPr>
          <w:lang w:val="en-US"/>
        </w:rPr>
        <w:t xml:space="preserve"> </w:t>
      </w:r>
      <w:r>
        <w:rPr>
          <w:rFonts w:hint="eastAsia"/>
          <w:lang w:val="en-US"/>
        </w:rPr>
        <w:t>parameters</w:t>
      </w:r>
      <w:r>
        <w:t xml:space="preserve"> and the SNPN ID implicitly.</w:t>
      </w:r>
    </w:p>
    <w:p>
      <w:r>
        <w:rPr>
          <w:szCs w:val="22"/>
        </w:rPr>
        <w:t xml:space="preserve">For option </w:t>
      </w:r>
      <w:r>
        <w:rPr>
          <w:rFonts w:hint="eastAsia"/>
          <w:szCs w:val="22"/>
          <w:lang w:val="en-US" w:eastAsia="zh-CN"/>
        </w:rPr>
        <w:t>1</w:t>
      </w:r>
      <w:r>
        <w:rPr>
          <w:szCs w:val="22"/>
        </w:rPr>
        <w:t xml:space="preserve">, </w:t>
      </w:r>
      <w:r>
        <w:rPr>
          <w:szCs w:val="24"/>
        </w:rPr>
        <w:t>a network index</w:t>
      </w:r>
      <w:r>
        <w:rPr>
          <w:rFonts w:hint="eastAsia"/>
          <w:szCs w:val="24"/>
          <w:lang w:val="en-US" w:eastAsia="zh-CN"/>
        </w:rPr>
        <w:t xml:space="preserve"> of its corresponding SNPN </w:t>
      </w:r>
      <w:r>
        <w:rPr>
          <w:rFonts w:hint="eastAsia"/>
          <w:szCs w:val="24"/>
          <w:lang w:val="en-US"/>
        </w:rPr>
        <w:t>shall be always</w:t>
      </w:r>
      <w:r>
        <w:rPr>
          <w:szCs w:val="24"/>
        </w:rPr>
        <w:t xml:space="preserve"> </w:t>
      </w:r>
      <w:r>
        <w:rPr>
          <w:rFonts w:hint="eastAsia"/>
          <w:szCs w:val="24"/>
          <w:lang w:val="en-US"/>
        </w:rPr>
        <w:t>provided</w:t>
      </w:r>
      <w:r>
        <w:rPr>
          <w:rFonts w:hint="eastAsia"/>
          <w:szCs w:val="24"/>
          <w:lang w:val="en-US" w:eastAsia="zh-CN"/>
        </w:rPr>
        <w:t xml:space="preserve"> </w:t>
      </w:r>
      <w:r>
        <w:rPr>
          <w:szCs w:val="24"/>
        </w:rPr>
        <w:t>together with</w:t>
      </w:r>
      <w:r>
        <w:rPr>
          <w:lang w:val="en-US"/>
        </w:rPr>
        <w:t xml:space="preserve"> </w:t>
      </w:r>
      <w:r>
        <w:rPr>
          <w:rFonts w:hint="eastAsia"/>
          <w:lang w:val="en-US" w:eastAsia="zh-CN"/>
        </w:rPr>
        <w:t>the</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externalCredentialsSupport</w:t>
      </w:r>
      <w:r>
        <w:t xml:space="preserve"> </w:t>
      </w:r>
      <w:r>
        <w:rPr>
          <w:rFonts w:hint="eastAsia"/>
          <w:lang w:val="en-US" w:eastAsia="zh-CN"/>
        </w:rPr>
        <w:t xml:space="preserve">, </w:t>
      </w:r>
      <w:r>
        <w:t xml:space="preserve">which causes more signaling overhead. </w:t>
      </w:r>
    </w:p>
    <w:p>
      <w:pPr>
        <w:rPr>
          <w:rFonts w:hint="eastAsia"/>
          <w:b/>
          <w:bCs/>
          <w:szCs w:val="22"/>
        </w:rPr>
      </w:pPr>
      <w:r>
        <w:t xml:space="preserve">For option </w:t>
      </w:r>
      <w:r>
        <w:rPr>
          <w:rFonts w:hint="eastAsia"/>
          <w:lang w:val="en-US" w:eastAsia="zh-CN"/>
        </w:rPr>
        <w:t>2</w:t>
      </w:r>
      <w:r>
        <w:t>,</w:t>
      </w:r>
      <w:r>
        <w:rPr>
          <w:szCs w:val="22"/>
        </w:rPr>
        <w:t xml:space="preserve"> </w:t>
      </w:r>
      <w:r>
        <w:rPr>
          <w:rFonts w:hint="eastAsia"/>
          <w:szCs w:val="22"/>
          <w:lang w:val="en-US"/>
        </w:rPr>
        <w:t xml:space="preserve">similar with the way of providing HRNN, a list of </w:t>
      </w:r>
      <w:r>
        <w:rPr>
          <w:i/>
          <w:iCs/>
          <w:color w:val="000000" w:themeColor="text1"/>
          <w14:textFill>
            <w14:solidFill>
              <w14:schemeClr w14:val="tx1"/>
            </w14:solidFill>
          </w14:textFill>
        </w:rPr>
        <w:t>externalCredentialsSupport</w:t>
      </w:r>
      <w:r>
        <w:t xml:space="preserve"> </w:t>
      </w:r>
      <w:r>
        <w:rPr>
          <w:rFonts w:hint="eastAsia"/>
          <w:lang w:val="en-US" w:eastAsia="zh-CN"/>
        </w:rPr>
        <w:t>indication</w:t>
      </w:r>
      <w:r>
        <w:rPr>
          <w:rFonts w:hint="eastAsia"/>
          <w:szCs w:val="22"/>
          <w:lang w:val="en-US"/>
        </w:rPr>
        <w:t xml:space="preserve"> can be used. In this solution</w:t>
      </w:r>
      <w:r>
        <w:rPr>
          <w:rFonts w:hint="eastAsia"/>
          <w:szCs w:val="22"/>
          <w:lang w:val="en-US" w:eastAsia="zh-CN"/>
        </w:rPr>
        <w:t xml:space="preserve">, </w:t>
      </w:r>
      <w:r>
        <w:rPr>
          <w:szCs w:val="22"/>
        </w:rPr>
        <w:t xml:space="preserve">the list for </w:t>
      </w:r>
      <w:r>
        <w:rPr>
          <w:i/>
          <w:iCs/>
          <w:color w:val="000000" w:themeColor="text1"/>
          <w14:textFill>
            <w14:solidFill>
              <w14:schemeClr w14:val="tx1"/>
            </w14:solidFill>
          </w14:textFill>
        </w:rPr>
        <w:t>externalCredentialsSupport</w:t>
      </w:r>
      <w:r>
        <w:rPr>
          <w:szCs w:val="22"/>
        </w:rPr>
        <w:t xml:space="preserve"> shall have the same </w:t>
      </w:r>
      <w:r>
        <w:rPr>
          <w:rFonts w:hint="eastAsia"/>
          <w:szCs w:val="22"/>
          <w:lang w:val="en-US"/>
        </w:rPr>
        <w:t xml:space="preserve">number </w:t>
      </w:r>
      <w:r>
        <w:rPr>
          <w:szCs w:val="22"/>
        </w:rPr>
        <w:t xml:space="preserve">of </w:t>
      </w:r>
      <w:r>
        <w:rPr>
          <w:i/>
          <w:iCs/>
          <w:color w:val="000000" w:themeColor="text1"/>
          <w14:textFill>
            <w14:solidFill>
              <w14:schemeClr w14:val="tx1"/>
            </w14:solidFill>
          </w14:textFill>
        </w:rPr>
        <w:t>externalCredentialsSupport</w:t>
      </w:r>
      <w:r>
        <w:rPr>
          <w:szCs w:val="22"/>
        </w:rPr>
        <w:t xml:space="preserve"> elements as the number of NPNs in SIB1. The n-th entry of the list of </w:t>
      </w:r>
      <w:r>
        <w:rPr>
          <w:i/>
          <w:iCs/>
          <w:color w:val="000000" w:themeColor="text1"/>
          <w14:textFill>
            <w14:solidFill>
              <w14:schemeClr w14:val="tx1"/>
            </w14:solidFill>
          </w14:textFill>
        </w:rPr>
        <w:t>externalCredentialsSupport</w:t>
      </w:r>
      <w:r>
        <w:rPr>
          <w:szCs w:val="22"/>
        </w:rPr>
        <w:t xml:space="preserve"> contains the </w:t>
      </w:r>
      <w:r>
        <w:rPr>
          <w:i/>
          <w:iCs/>
          <w:color w:val="000000" w:themeColor="text1"/>
          <w14:textFill>
            <w14:solidFill>
              <w14:schemeClr w14:val="tx1"/>
            </w14:solidFill>
          </w14:textFill>
        </w:rPr>
        <w:t>externalCredentialsSupport</w:t>
      </w:r>
      <w:r>
        <w:rPr>
          <w:szCs w:val="22"/>
        </w:rPr>
        <w:t xml:space="preserve"> indicator of the n-th NPN of SIB1. The indicator in the corresponding entry in the list of </w:t>
      </w:r>
      <w:r>
        <w:rPr>
          <w:i/>
          <w:iCs/>
          <w:color w:val="000000" w:themeColor="text1"/>
          <w14:textFill>
            <w14:solidFill>
              <w14:schemeClr w14:val="tx1"/>
            </w14:solidFill>
          </w14:textFill>
        </w:rPr>
        <w:t>externalCredentialsSupport</w:t>
      </w:r>
      <w:r>
        <w:rPr>
          <w:szCs w:val="22"/>
        </w:rPr>
        <w:t xml:space="preserve"> is absent if there is no </w:t>
      </w:r>
      <w:r>
        <w:rPr>
          <w:i/>
          <w:iCs/>
          <w:color w:val="000000" w:themeColor="text1"/>
          <w14:textFill>
            <w14:solidFill>
              <w14:schemeClr w14:val="tx1"/>
            </w14:solidFill>
          </w14:textFill>
        </w:rPr>
        <w:t>externalCredentialsSupport</w:t>
      </w:r>
      <w:r>
        <w:rPr>
          <w:szCs w:val="22"/>
        </w:rPr>
        <w:t xml:space="preserve"> associated with the given NPN. It is noted that only the entry corresponding to SNPN may have </w:t>
      </w:r>
      <w:r>
        <w:rPr>
          <w:i/>
          <w:iCs/>
          <w:color w:val="000000" w:themeColor="text1"/>
          <w14:textFill>
            <w14:solidFill>
              <w14:schemeClr w14:val="tx1"/>
            </w14:solidFill>
          </w14:textFill>
        </w:rPr>
        <w:t>externalCredentialsSupport</w:t>
      </w:r>
      <w:r>
        <w:rPr>
          <w:szCs w:val="22"/>
        </w:rPr>
        <w:t xml:space="preserve">. </w:t>
      </w:r>
      <w:r>
        <w:rPr>
          <w:rFonts w:hint="eastAsia"/>
          <w:szCs w:val="22"/>
          <w:lang w:val="en-US"/>
        </w:rPr>
        <w:t>Compared with option 1, this option has less overhead.</w:t>
      </w:r>
    </w:p>
    <w:p>
      <w:pPr>
        <w:rPr>
          <w:b/>
          <w:bCs/>
          <w:szCs w:val="22"/>
        </w:rPr>
      </w:pPr>
      <w:r>
        <w:rPr>
          <w:rFonts w:hint="eastAsia"/>
          <w:b/>
          <w:bCs/>
          <w:szCs w:val="22"/>
        </w:rPr>
        <w:t>P</w:t>
      </w:r>
      <w:r>
        <w:rPr>
          <w:b/>
          <w:bCs/>
          <w:szCs w:val="22"/>
        </w:rPr>
        <w:t xml:space="preserve">roposal 3: </w:t>
      </w:r>
      <w:r>
        <w:rPr>
          <w:rFonts w:hint="eastAsia"/>
          <w:b/>
          <w:bCs/>
          <w:szCs w:val="22"/>
          <w:lang w:val="en-US" w:eastAsia="zh-CN"/>
        </w:rPr>
        <w:t>A</w:t>
      </w:r>
      <w:r>
        <w:rPr>
          <w:b/>
          <w:bCs/>
        </w:rPr>
        <w:t>ssociate the</w:t>
      </w:r>
      <w:r>
        <w:rPr>
          <w:b/>
          <w:bCs/>
          <w:i/>
          <w:iCs/>
          <w:color w:val="000000" w:themeColor="text1"/>
          <w14:textFill>
            <w14:solidFill>
              <w14:schemeClr w14:val="tx1"/>
            </w14:solidFill>
          </w14:textFill>
        </w:rPr>
        <w:t xml:space="preserve"> </w:t>
      </w:r>
      <w:r>
        <w:rPr>
          <w:rFonts w:hint="eastAsia"/>
          <w:b/>
          <w:bCs/>
          <w:i/>
          <w:iCs/>
          <w:color w:val="000000" w:themeColor="text1"/>
          <w:lang w:val="en-US" w:eastAsia="zh-CN"/>
          <w14:textFill>
            <w14:solidFill>
              <w14:schemeClr w14:val="tx1"/>
            </w14:solidFill>
          </w14:textFill>
        </w:rPr>
        <w:t>following parameter</w:t>
      </w:r>
      <w:r>
        <w:rPr>
          <w:b/>
          <w:bCs/>
        </w:rPr>
        <w:t xml:space="preserve"> and </w:t>
      </w:r>
      <w:r>
        <w:rPr>
          <w:rFonts w:hint="eastAsia"/>
          <w:b/>
          <w:bCs/>
          <w:lang w:val="en-US" w:eastAsia="zh-CN"/>
        </w:rPr>
        <w:t>its corresponding</w:t>
      </w:r>
      <w:r>
        <w:rPr>
          <w:b/>
          <w:bCs/>
        </w:rPr>
        <w:t xml:space="preserve"> SNPN ID implicitly</w:t>
      </w:r>
      <w:r>
        <w:rPr>
          <w:rFonts w:hint="eastAsia"/>
          <w:b/>
          <w:bCs/>
          <w:lang w:val="en-US" w:eastAsia="zh-CN"/>
        </w:rPr>
        <w:t>, resepectively. For the list for each parameter,</w:t>
      </w:r>
      <w:r>
        <w:rPr>
          <w:b/>
          <w:bCs/>
        </w:rPr>
        <w:t xml:space="preserve"> </w:t>
      </w:r>
      <w:r>
        <w:rPr>
          <w:rFonts w:hint="eastAsia"/>
          <w:b/>
          <w:bCs/>
          <w:szCs w:val="22"/>
          <w:lang w:val="en-US" w:eastAsia="zh-CN"/>
        </w:rPr>
        <w:t>it</w:t>
      </w:r>
      <w:r>
        <w:rPr>
          <w:b/>
          <w:bCs/>
          <w:szCs w:val="22"/>
        </w:rPr>
        <w:t xml:space="preserve"> shall have the same </w:t>
      </w:r>
      <w:r>
        <w:rPr>
          <w:rFonts w:hint="eastAsia"/>
          <w:b/>
          <w:bCs/>
          <w:szCs w:val="22"/>
          <w:lang w:val="en-US"/>
        </w:rPr>
        <w:t xml:space="preserve">number </w:t>
      </w:r>
      <w:r>
        <w:rPr>
          <w:b/>
          <w:bCs/>
          <w:szCs w:val="22"/>
        </w:rPr>
        <w:t>of</w:t>
      </w:r>
      <w:r>
        <w:rPr>
          <w:b/>
          <w:bCs/>
          <w:i/>
          <w:iCs/>
          <w:color w:val="000000" w:themeColor="text1"/>
          <w14:textFill>
            <w14:solidFill>
              <w14:schemeClr w14:val="tx1"/>
            </w14:solidFill>
          </w14:textFill>
        </w:rPr>
        <w:t xml:space="preserve"> </w:t>
      </w:r>
      <w:r>
        <w:rPr>
          <w:b/>
          <w:bCs/>
          <w:szCs w:val="22"/>
        </w:rPr>
        <w:t>elements as the number of NPNs in SIB1. These elements are absent for PNI-NPN.</w:t>
      </w:r>
    </w:p>
    <w:p>
      <w:pPr>
        <w:numPr>
          <w:ilvl w:val="0"/>
          <w:numId w:val="10"/>
        </w:numPr>
        <w:ind w:left="820" w:leftChars="200" w:hanging="420"/>
        <w:rPr>
          <w:b/>
          <w:bCs/>
          <w:szCs w:val="22"/>
        </w:rPr>
      </w:pPr>
      <w:r>
        <w:rPr>
          <w:b/>
          <w:bCs/>
          <w:i/>
          <w:iCs/>
          <w:color w:val="000000" w:themeColor="text1"/>
          <w14:textFill>
            <w14:solidFill>
              <w14:schemeClr w14:val="tx1"/>
            </w14:solidFill>
          </w14:textFill>
        </w:rPr>
        <w:t>ExternalCredentialsSupport</w:t>
      </w:r>
      <w:r>
        <w:rPr>
          <w:rFonts w:hint="eastAsia"/>
          <w:b/>
          <w:bCs/>
          <w:i/>
          <w:iCs/>
          <w:color w:val="000000" w:themeColor="text1"/>
          <w:lang w:val="en-US" w:eastAsia="zh-CN"/>
          <w14:textFill>
            <w14:solidFill>
              <w14:schemeClr w14:val="tx1"/>
            </w14:solidFill>
          </w14:textFill>
        </w:rPr>
        <w:t>;</w:t>
      </w:r>
    </w:p>
    <w:p>
      <w:pPr>
        <w:numPr>
          <w:ilvl w:val="0"/>
          <w:numId w:val="10"/>
        </w:numPr>
        <w:ind w:left="820" w:leftChars="200" w:hanging="420"/>
        <w:rPr>
          <w:b/>
          <w:bCs/>
          <w:szCs w:val="22"/>
        </w:rPr>
      </w:pPr>
      <w:r>
        <w:rPr>
          <w:b/>
          <w:bCs/>
          <w:lang w:val="en-US"/>
        </w:rPr>
        <w:t>supported Group IDs</w:t>
      </w:r>
      <w:r>
        <w:rPr>
          <w:rFonts w:hint="eastAsia"/>
          <w:b/>
          <w:bCs/>
          <w:lang w:val="en-US" w:eastAsia="zh-CN"/>
        </w:rPr>
        <w:t>;</w:t>
      </w:r>
    </w:p>
    <w:p>
      <w:pPr>
        <w:numPr>
          <w:ilvl w:val="0"/>
          <w:numId w:val="10"/>
        </w:numPr>
        <w:ind w:left="820" w:leftChars="200" w:hanging="420"/>
        <w:rPr>
          <w:b/>
          <w:bCs/>
          <w:szCs w:val="22"/>
        </w:rPr>
      </w:pPr>
      <w:r>
        <w:rPr>
          <w:b/>
          <w:bCs/>
          <w:i/>
          <w:iCs/>
          <w:color w:val="000000" w:themeColor="text1"/>
          <w14:textFill>
            <w14:solidFill>
              <w14:schemeClr w14:val="tx1"/>
            </w14:solidFill>
          </w14:textFill>
        </w:rPr>
        <w:t>opportunisticRegAttemptsAllowed</w:t>
      </w:r>
    </w:p>
    <w:p>
      <w:r>
        <w:rPr>
          <w:rFonts w:hint="eastAsia"/>
          <w:szCs w:val="22"/>
          <w:lang w:val="en-US"/>
        </w:rPr>
        <w:t>According to the TS 23.700-07,RAN</w:t>
      </w:r>
      <w:r>
        <w:rPr>
          <w:szCs w:val="22"/>
          <w:lang w:val="en-US"/>
        </w:rPr>
        <w:t xml:space="preserve">2 </w:t>
      </w:r>
      <w:r>
        <w:rPr>
          <w:rFonts w:hint="eastAsia"/>
          <w:szCs w:val="22"/>
          <w:lang w:val="en-US"/>
        </w:rPr>
        <w:t>need to</w:t>
      </w:r>
      <w:r>
        <w:rPr>
          <w:szCs w:val="22"/>
          <w:lang w:val="en-US"/>
        </w:rPr>
        <w:t xml:space="preserve"> </w:t>
      </w:r>
      <w:r>
        <w:rPr>
          <w:rFonts w:hint="eastAsia"/>
          <w:szCs w:val="22"/>
          <w:lang w:val="en-US"/>
        </w:rPr>
        <w:t>determine</w:t>
      </w:r>
      <w:r>
        <w:rPr>
          <w:szCs w:val="22"/>
          <w:lang w:val="en-US"/>
        </w:rPr>
        <w:t xml:space="preserve"> </w:t>
      </w:r>
      <w:r>
        <w:rPr>
          <w:rFonts w:hint="eastAsia"/>
          <w:szCs w:val="22"/>
          <w:lang w:val="en-US"/>
        </w:rPr>
        <w:t>the</w:t>
      </w:r>
      <w:r>
        <w:rPr>
          <w:szCs w:val="22"/>
          <w:lang w:val="en-US"/>
        </w:rPr>
        <w:t xml:space="preserve"> </w:t>
      </w:r>
      <w:r>
        <w:t>number of supported Group IDs that can be broadcast</w:t>
      </w:r>
      <w:r>
        <w:rPr>
          <w:rFonts w:hint="eastAsia"/>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80" w:line="240" w:lineRule="auto"/>
              <w:ind w:left="568" w:hanging="284"/>
              <w:jc w:val="left"/>
              <w:textAlignment w:val="auto"/>
              <w:rPr>
                <w:rFonts w:eastAsia="PMingLiU"/>
                <w:color w:val="000000"/>
                <w:lang w:val="en-US" w:eastAsia="zh-TW"/>
              </w:rPr>
            </w:pPr>
            <w:r>
              <w:rPr>
                <w:rFonts w:eastAsia="Malgun Gothic"/>
                <w:color w:val="000000"/>
                <w:lang w:eastAsia="zh-TW"/>
              </w:rPr>
              <w:t>-</w:t>
            </w:r>
            <w:r>
              <w:rPr>
                <w:rFonts w:eastAsia="Malgun Gothic"/>
                <w:color w:val="000000"/>
                <w:lang w:eastAsia="zh-TW"/>
              </w:rPr>
              <w:tab/>
            </w:r>
            <w:r>
              <w:rPr>
                <w:rFonts w:eastAsia="PMingLiU"/>
                <w:color w:val="000000"/>
                <w:lang w:val="en-US" w:eastAsia="zh-TW"/>
              </w:rPr>
              <w:t xml:space="preserve">Group ID as a specific case of SNPN ID reusing SNPN ID encoding in </w:t>
            </w:r>
            <w:r>
              <w:rPr>
                <w:rFonts w:eastAsia="Malgun Gothic"/>
                <w:color w:val="000000"/>
                <w:lang w:eastAsia="ko-KR"/>
              </w:rPr>
              <w:t>TS 23.003 [15]</w:t>
            </w:r>
            <w:r>
              <w:rPr>
                <w:rFonts w:eastAsia="PMingLiU"/>
                <w:color w:val="000000"/>
                <w:lang w:val="en-US" w:eastAsia="zh-TW"/>
              </w:rPr>
              <w:t>, where</w:t>
            </w:r>
          </w:p>
          <w:p>
            <w:pPr>
              <w:spacing w:after="180" w:line="240" w:lineRule="auto"/>
              <w:ind w:left="851" w:hanging="284"/>
              <w:jc w:val="left"/>
              <w:textAlignment w:val="auto"/>
              <w:rPr>
                <w:rFonts w:eastAsia="Malgun Gothic"/>
                <w:color w:val="000000"/>
                <w:lang w:val="en-US" w:eastAsia="zh-TW"/>
              </w:rPr>
            </w:pPr>
            <w:r>
              <w:rPr>
                <w:rFonts w:eastAsia="Malgun Gothic"/>
                <w:color w:val="000000"/>
                <w:lang w:val="en-US" w:eastAsia="zh-TW"/>
              </w:rPr>
              <w:t>-</w:t>
            </w:r>
            <w:r>
              <w:rPr>
                <w:rFonts w:eastAsia="Malgun Gothic"/>
                <w:color w:val="000000"/>
                <w:lang w:val="en-US" w:eastAsia="zh-TW"/>
              </w:rPr>
              <w:tab/>
            </w:r>
            <w:r>
              <w:rPr>
                <w:rFonts w:eastAsia="Malgun Gothic"/>
                <w:color w:val="000000"/>
                <w:lang w:eastAsia="zh-TW"/>
              </w:rPr>
              <w:t>Assignment mode 1 indicat</w:t>
            </w:r>
            <w:r>
              <w:rPr>
                <w:rFonts w:eastAsia="Malgun Gothic"/>
                <w:color w:val="000000"/>
                <w:lang w:val="en-US" w:eastAsia="zh-TW"/>
              </w:rPr>
              <w:t>es</w:t>
            </w:r>
            <w:r>
              <w:rPr>
                <w:rFonts w:eastAsia="Malgun Gothic"/>
                <w:color w:val="000000"/>
                <w:lang w:eastAsia="zh-TW"/>
              </w:rPr>
              <w:t xml:space="preserve"> self-managed </w:t>
            </w:r>
            <w:r>
              <w:rPr>
                <w:rFonts w:eastAsia="Malgun Gothic"/>
                <w:color w:val="000000"/>
                <w:lang w:val="en-US" w:eastAsia="zh-TW"/>
              </w:rPr>
              <w:t xml:space="preserve">Home SP Group ID values as the </w:t>
            </w:r>
            <w:r>
              <w:rPr>
                <w:rFonts w:eastAsia="Malgun Gothic"/>
                <w:color w:val="000000"/>
                <w:lang w:eastAsia="zh-TW"/>
              </w:rPr>
              <w:t>NID Value</w:t>
            </w:r>
            <w:r>
              <w:rPr>
                <w:rFonts w:eastAsia="Malgun Gothic"/>
                <w:color w:val="000000"/>
                <w:lang w:val="en-US" w:eastAsia="zh-TW"/>
              </w:rPr>
              <w:t xml:space="preserve"> is</w:t>
            </w:r>
            <w:r>
              <w:rPr>
                <w:rFonts w:eastAsia="Malgun Gothic"/>
                <w:color w:val="000000"/>
                <w:lang w:eastAsia="zh-TW"/>
              </w:rPr>
              <w:t xml:space="preserve"> </w:t>
            </w:r>
            <w:r>
              <w:rPr>
                <w:rFonts w:eastAsia="Malgun Gothic"/>
                <w:color w:val="000000"/>
                <w:lang w:val="en-US" w:eastAsia="zh-TW"/>
              </w:rPr>
              <w:t>chosen independently at deployment time.</w:t>
            </w:r>
          </w:p>
          <w:p>
            <w:pPr>
              <w:spacing w:after="180" w:line="240" w:lineRule="auto"/>
              <w:ind w:left="851" w:hanging="284"/>
              <w:jc w:val="left"/>
              <w:textAlignment w:val="auto"/>
              <w:rPr>
                <w:rFonts w:eastAsia="Malgun Gothic"/>
                <w:color w:val="000000"/>
                <w:lang w:val="en-US" w:eastAsia="ja-JP"/>
              </w:rPr>
            </w:pPr>
            <w:r>
              <w:rPr>
                <w:rFonts w:eastAsia="Malgun Gothic"/>
                <w:color w:val="000000"/>
                <w:lang w:val="en-US" w:eastAsia="zh-TW"/>
              </w:rPr>
              <w:t>-</w:t>
            </w:r>
            <w:r>
              <w:rPr>
                <w:rFonts w:eastAsia="Malgun Gothic"/>
                <w:color w:val="000000"/>
                <w:lang w:val="en-US" w:eastAsia="zh-TW"/>
              </w:rPr>
              <w:tab/>
            </w:r>
            <w:r>
              <w:rPr>
                <w:rFonts w:eastAsia="Malgun Gothic"/>
                <w:color w:val="000000"/>
                <w:lang w:val="en-US" w:eastAsia="zh-TW"/>
              </w:rPr>
              <w:t xml:space="preserve">Assignment mode 0 indicates Home SP Group ID is globally unique as the NID Value is globally unique. One possibility for ensuring uniqueness is to use IANA PEN as in </w:t>
            </w:r>
            <w:r>
              <w:rPr>
                <w:rFonts w:eastAsia="Malgun Gothic"/>
                <w:color w:val="000000"/>
                <w:lang w:eastAsia="ko-KR"/>
              </w:rPr>
              <w:t>TS 23.003 [15]</w:t>
            </w:r>
            <w:r>
              <w:rPr>
                <w:rFonts w:eastAsia="Malgun Gothic"/>
                <w:color w:val="000000"/>
                <w:lang w:val="en-US" w:eastAsia="zh-TW"/>
              </w:rPr>
              <w:t>.</w:t>
            </w:r>
          </w:p>
          <w:p>
            <w:pPr>
              <w:pStyle w:val="88"/>
            </w:pPr>
            <w:r>
              <w:t>NOTE 2:</w:t>
            </w:r>
            <w:r>
              <w:tab/>
            </w:r>
            <w:r>
              <w:t>The number of supported Group IDs that can be broadcast will be determined by RAN2.</w:t>
            </w:r>
          </w:p>
        </w:tc>
      </w:tr>
    </w:tbl>
    <w:p/>
    <w:p>
      <w:pPr>
        <w:rPr>
          <w:lang w:val="en-US"/>
        </w:rPr>
      </w:pPr>
      <w:r>
        <w:rPr>
          <w:rFonts w:hint="eastAsia"/>
          <w:lang w:val="en-US"/>
        </w:rPr>
        <w:t xml:space="preserve">It is found that the Group ID is a </w:t>
      </w:r>
      <w:r>
        <w:rPr>
          <w:lang w:val="en-US"/>
        </w:rPr>
        <w:t>specific case of SNPN ID</w:t>
      </w:r>
      <w:r>
        <w:rPr>
          <w:rFonts w:hint="eastAsia"/>
          <w:lang w:val="en-US"/>
        </w:rPr>
        <w:t xml:space="preserve">, which has a size of </w:t>
      </w:r>
      <w:bookmarkStart w:id="3" w:name="OLE_LINK8"/>
      <w:bookmarkStart w:id="4" w:name="OLE_LINK7"/>
      <w:r>
        <w:rPr>
          <w:rFonts w:hint="eastAsia"/>
          <w:lang w:val="en-US"/>
        </w:rPr>
        <w:t>92</w:t>
      </w:r>
      <w:bookmarkEnd w:id="3"/>
      <w:bookmarkEnd w:id="4"/>
      <w:r>
        <w:rPr>
          <w:rFonts w:hint="eastAsia"/>
          <w:lang w:val="en-US"/>
        </w:rPr>
        <w:t xml:space="preserve"> bits. </w:t>
      </w:r>
      <w:r>
        <w:rPr>
          <w:lang w:val="en-US"/>
        </w:rPr>
        <w:t>As we know, i</w:t>
      </w:r>
      <w:r>
        <w:rPr>
          <w:rFonts w:hint="eastAsia"/>
          <w:lang w:val="en-US"/>
        </w:rPr>
        <w:t xml:space="preserve">n R16 NPN, RAN sharing between SNPNs </w:t>
      </w:r>
      <w:r>
        <w:rPr>
          <w:lang w:val="en-US"/>
        </w:rPr>
        <w:t>is</w:t>
      </w:r>
      <w:r>
        <w:rPr>
          <w:rFonts w:hint="eastAsia"/>
          <w:lang w:val="en-US"/>
        </w:rPr>
        <w:t xml:space="preserve"> supported. Considering that </w:t>
      </w:r>
      <w:r>
        <w:t xml:space="preserve">the </w:t>
      </w:r>
      <w:r>
        <w:rPr>
          <w:rFonts w:hint="eastAsia"/>
          <w:lang w:val="en-US"/>
        </w:rPr>
        <w:t>maximum</w:t>
      </w:r>
      <w:r>
        <w:t xml:space="preserve"> number of </w:t>
      </w:r>
      <w:r>
        <w:rPr>
          <w:rFonts w:hint="eastAsia"/>
          <w:lang w:val="en-US"/>
        </w:rPr>
        <w:t xml:space="preserve">shared </w:t>
      </w:r>
      <w:r>
        <w:rPr>
          <w:lang w:val="en-US"/>
        </w:rPr>
        <w:t xml:space="preserve">networks </w:t>
      </w:r>
      <w:r>
        <w:t xml:space="preserve">indicated in SIB1 </w:t>
      </w:r>
      <w:r>
        <w:rPr>
          <w:rFonts w:hint="eastAsia"/>
          <w:lang w:val="en-US"/>
        </w:rPr>
        <w:t>is</w:t>
      </w:r>
      <w:r>
        <w:t xml:space="preserve"> 12</w:t>
      </w:r>
      <w:r>
        <w:rPr>
          <w:rFonts w:hint="eastAsia"/>
          <w:lang w:val="en-US"/>
        </w:rPr>
        <w:t>, the number of supported Group IDs can be limited to reduce signaling overhead</w:t>
      </w:r>
      <w:r>
        <w:t>.</w:t>
      </w:r>
      <w:r>
        <w:rPr>
          <w:rFonts w:hint="eastAsia"/>
          <w:lang w:val="en-US"/>
        </w:rPr>
        <w:t xml:space="preserve"> It is suggested that up to </w:t>
      </w:r>
      <w:r>
        <w:rPr>
          <w:lang w:val="en-US"/>
        </w:rPr>
        <w:t xml:space="preserve">12 </w:t>
      </w:r>
      <w:r>
        <w:rPr>
          <w:rFonts w:hint="eastAsia"/>
          <w:lang w:val="en-US"/>
        </w:rPr>
        <w:t>Group IDs</w:t>
      </w:r>
      <w:r>
        <w:rPr>
          <w:lang w:val="en-US"/>
        </w:rPr>
        <w:t xml:space="preserve"> can be broadcasted in a cell</w:t>
      </w:r>
      <w:r>
        <w:rPr>
          <w:rFonts w:hint="eastAsia"/>
          <w:lang w:val="en-US"/>
        </w:rPr>
        <w:t xml:space="preserve">, which means that a SNPN belonging to a cell can at least support using the </w:t>
      </w:r>
      <w:bookmarkStart w:id="6" w:name="_GoBack"/>
      <w:r>
        <w:rPr>
          <w:rFonts w:hint="eastAsia"/>
          <w:lang w:val="en-US"/>
        </w:rPr>
        <w:t>subscription or credentials of a separate entity.</w:t>
      </w:r>
      <w:r>
        <w:rPr>
          <w:lang w:val="en-US"/>
        </w:rPr>
        <w:t xml:space="preserve"> </w:t>
      </w:r>
      <w:r>
        <w:rPr>
          <w:szCs w:val="24"/>
        </w:rPr>
        <w:t>For single SNPN, we think it’s not necessary to limit the max number of supported Group IDs broadcast to the UE.</w:t>
      </w:r>
      <w:r>
        <w:rPr>
          <w:lang w:val="en-US"/>
        </w:rPr>
        <w:t xml:space="preserve"> </w:t>
      </w:r>
    </w:p>
    <w:p>
      <w:pPr>
        <w:rPr>
          <w:b/>
          <w:bCs/>
          <w:lang w:val="en-US"/>
        </w:rPr>
      </w:pPr>
      <w:r>
        <w:rPr>
          <w:b/>
          <w:bCs/>
          <w:lang w:val="en-US"/>
        </w:rPr>
        <w:t xml:space="preserve">Proposal </w:t>
      </w:r>
      <w:r>
        <w:rPr>
          <w:rFonts w:hint="eastAsia"/>
          <w:b/>
          <w:bCs/>
          <w:lang w:val="en-US" w:eastAsia="zh-CN"/>
        </w:rPr>
        <w:t>4</w:t>
      </w:r>
      <w:r>
        <w:rPr>
          <w:b/>
          <w:bCs/>
          <w:lang w:val="en-US"/>
        </w:rPr>
        <w:t xml:space="preserve">: Up to 12 </w:t>
      </w:r>
      <w:r>
        <w:rPr>
          <w:rFonts w:hint="eastAsia"/>
          <w:b/>
          <w:bCs/>
          <w:lang w:val="en-US"/>
        </w:rPr>
        <w:t>Group IDs</w:t>
      </w:r>
      <w:r>
        <w:rPr>
          <w:b/>
          <w:bCs/>
          <w:lang w:val="en-US"/>
        </w:rPr>
        <w:t xml:space="preserve"> can be broadcasted in a cell.</w:t>
      </w:r>
    </w:p>
    <w:bookmarkEnd w:id="6"/>
    <w:p>
      <w:pPr>
        <w:pStyle w:val="2"/>
        <w:jc w:val="left"/>
      </w:pPr>
      <w:r>
        <w:t>Conclusions</w:t>
      </w:r>
    </w:p>
    <w:p>
      <w:pPr>
        <w:spacing w:afterLines="50" w:line="240" w:lineRule="auto"/>
        <w:jc w:val="left"/>
      </w:pPr>
      <w:r>
        <w:t>Based on the analysis given above, we have the following Observations and Proposals:</w:t>
      </w:r>
    </w:p>
    <w:p>
      <w:pPr>
        <w:rPr>
          <w:b/>
          <w:bCs/>
          <w:lang w:val="en-US"/>
        </w:rPr>
      </w:pPr>
      <w:r>
        <w:rPr>
          <w:b/>
          <w:bCs/>
          <w:lang w:val="en-US"/>
        </w:rPr>
        <w:t xml:space="preserve">Proposal 1: </w:t>
      </w:r>
      <w:r>
        <w:rPr>
          <w:rFonts w:hint="eastAsia"/>
          <w:b/>
          <w:bCs/>
          <w:lang w:val="en-US"/>
        </w:rPr>
        <w:t>RAN</w:t>
      </w:r>
      <w:r>
        <w:rPr>
          <w:b/>
          <w:bCs/>
          <w:lang w:val="en-US"/>
        </w:rPr>
        <w:t xml:space="preserve">2 </w:t>
      </w:r>
      <w:r>
        <w:rPr>
          <w:rFonts w:hint="eastAsia"/>
          <w:b/>
          <w:bCs/>
          <w:lang w:val="en-US"/>
        </w:rPr>
        <w:t>confirm</w:t>
      </w:r>
      <w:r>
        <w:rPr>
          <w:b/>
          <w:bCs/>
          <w:lang w:val="en-US"/>
        </w:rPr>
        <w:t xml:space="preserve">s </w:t>
      </w:r>
      <w:r>
        <w:rPr>
          <w:rFonts w:hint="eastAsia"/>
          <w:b/>
          <w:bCs/>
          <w:lang w:val="en-US"/>
        </w:rPr>
        <w:t>that</w:t>
      </w:r>
      <w:r>
        <w:rPr>
          <w:b/>
          <w:bCs/>
          <w:lang w:val="en-US"/>
        </w:rPr>
        <w:t xml:space="preserve"> </w:t>
      </w:r>
      <w:r>
        <w:rPr>
          <w:rFonts w:hint="eastAsia"/>
          <w:b/>
          <w:bCs/>
          <w:lang w:val="en-US"/>
        </w:rPr>
        <w:t>f</w:t>
      </w:r>
      <w:r>
        <w:rPr>
          <w:b/>
          <w:bCs/>
          <w:lang w:val="en-US"/>
        </w:rPr>
        <w:t xml:space="preserve">or each SNPN cell, the following </w:t>
      </w:r>
      <w:r>
        <w:rPr>
          <w:rFonts w:eastAsiaTheme="minorEastAsia"/>
          <w:b/>
        </w:rPr>
        <w:t xml:space="preserve">parameters </w:t>
      </w:r>
      <w:r>
        <w:rPr>
          <w:rFonts w:hint="eastAsia" w:eastAsiaTheme="minorEastAsia"/>
          <w:b/>
          <w:lang w:val="en-US" w:eastAsia="zh-CN"/>
        </w:rPr>
        <w:t>is broadcasted</w:t>
      </w:r>
      <w:r>
        <w:rPr>
          <w:b/>
          <w:bCs/>
          <w:lang w:val="en-US"/>
        </w:rPr>
        <w:t xml:space="preserve"> in SIB1:</w:t>
      </w:r>
    </w:p>
    <w:p>
      <w:pPr>
        <w:numPr>
          <w:ilvl w:val="0"/>
          <w:numId w:val="8"/>
        </w:numPr>
        <w:rPr>
          <w:b/>
          <w:bCs/>
          <w:lang w:val="en-US"/>
        </w:rPr>
      </w:pPr>
      <w:r>
        <w:rPr>
          <w:b/>
          <w:bCs/>
          <w:lang w:val="en-US"/>
        </w:rPr>
        <w:t>Indication that "access using credentials from a separate entity is supported"</w:t>
      </w:r>
    </w:p>
    <w:p>
      <w:pPr>
        <w:numPr>
          <w:ilvl w:val="0"/>
          <w:numId w:val="8"/>
        </w:numPr>
        <w:rPr>
          <w:b/>
          <w:bCs/>
          <w:lang w:val="en-US"/>
        </w:rPr>
      </w:pPr>
      <w:r>
        <w:rPr>
          <w:b/>
          <w:bCs/>
          <w:lang w:val="en-US"/>
        </w:rPr>
        <w:t>Optionally, supported Group IDs (GIDs)</w:t>
      </w:r>
    </w:p>
    <w:p>
      <w:pPr>
        <w:numPr>
          <w:ilvl w:val="0"/>
          <w:numId w:val="8"/>
        </w:numPr>
        <w:rPr>
          <w:b/>
          <w:bCs/>
          <w:lang w:val="en-US"/>
        </w:rPr>
      </w:pPr>
      <w:r>
        <w:rPr>
          <w:b/>
          <w:bCs/>
          <w:lang w:val="en-US"/>
        </w:rPr>
        <w:t>Optionally, an indication whether the SNPN allows registration attempts from UEs that are not explicitly configured to select the SNPN</w:t>
      </w:r>
    </w:p>
    <w:p>
      <w:pPr>
        <w:rPr>
          <w:b/>
          <w:bCs/>
          <w:szCs w:val="22"/>
        </w:rPr>
      </w:pPr>
      <w:r>
        <w:rPr>
          <w:rFonts w:hint="eastAsia"/>
          <w:b/>
          <w:bCs/>
          <w:szCs w:val="22"/>
        </w:rPr>
        <w:t>P</w:t>
      </w:r>
      <w:r>
        <w:rPr>
          <w:b/>
          <w:bCs/>
          <w:szCs w:val="22"/>
        </w:rPr>
        <w:t xml:space="preserve">roposal 2: The following parameters can be added </w:t>
      </w:r>
      <w:r>
        <w:rPr>
          <w:rFonts w:hint="eastAsia"/>
          <w:b/>
          <w:bCs/>
          <w:szCs w:val="22"/>
          <w:lang w:val="en-US"/>
        </w:rPr>
        <w:t>under</w:t>
      </w:r>
      <w:r>
        <w:rPr>
          <w:b/>
          <w:bCs/>
          <w:szCs w:val="22"/>
        </w:rPr>
        <w:t xml:space="preserve"> </w:t>
      </w:r>
      <w:r>
        <w:rPr>
          <w:b/>
          <w:bCs/>
          <w:i/>
          <w:iCs/>
          <w:szCs w:val="22"/>
        </w:rPr>
        <w:t>NPN-IdentityInfoList</w:t>
      </w:r>
      <w:r>
        <w:rPr>
          <w:b/>
          <w:bCs/>
          <w:szCs w:val="22"/>
        </w:rPr>
        <w:t>:</w:t>
      </w:r>
    </w:p>
    <w:p>
      <w:pPr>
        <w:numPr>
          <w:ilvl w:val="0"/>
          <w:numId w:val="8"/>
        </w:numPr>
        <w:rPr>
          <w:b/>
          <w:bCs/>
          <w:lang w:val="en-US"/>
        </w:rPr>
      </w:pPr>
      <w:r>
        <w:rPr>
          <w:b/>
          <w:bCs/>
          <w:lang w:val="en-US"/>
        </w:rPr>
        <w:t>Indication that "access using credentials from a separate entity is supported"</w:t>
      </w:r>
    </w:p>
    <w:p>
      <w:pPr>
        <w:numPr>
          <w:ilvl w:val="0"/>
          <w:numId w:val="8"/>
        </w:numPr>
        <w:rPr>
          <w:b/>
          <w:bCs/>
          <w:lang w:val="en-US"/>
        </w:rPr>
      </w:pPr>
      <w:r>
        <w:rPr>
          <w:b/>
          <w:bCs/>
          <w:lang w:val="en-US"/>
        </w:rPr>
        <w:t>supported Group IDs (GIDs)</w:t>
      </w:r>
    </w:p>
    <w:p>
      <w:pPr>
        <w:numPr>
          <w:ilvl w:val="0"/>
          <w:numId w:val="8"/>
        </w:numPr>
        <w:rPr>
          <w:b/>
          <w:bCs/>
          <w:lang w:val="en-US"/>
        </w:rPr>
      </w:pPr>
      <w:r>
        <w:rPr>
          <w:b/>
          <w:bCs/>
          <w:lang w:val="en-US"/>
        </w:rPr>
        <w:t>an indication whether the SNPN allows registration attempts from UEs that are not explicitly configured to select the SNPN</w:t>
      </w:r>
    </w:p>
    <w:p>
      <w:pPr>
        <w:rPr>
          <w:b/>
          <w:bCs/>
          <w:szCs w:val="22"/>
        </w:rPr>
      </w:pPr>
      <w:r>
        <w:rPr>
          <w:rFonts w:hint="eastAsia"/>
          <w:b/>
          <w:bCs/>
          <w:szCs w:val="22"/>
        </w:rPr>
        <w:t>P</w:t>
      </w:r>
      <w:r>
        <w:rPr>
          <w:b/>
          <w:bCs/>
          <w:szCs w:val="22"/>
        </w:rPr>
        <w:t xml:space="preserve">roposal 3: </w:t>
      </w:r>
      <w:r>
        <w:rPr>
          <w:rFonts w:hint="eastAsia"/>
          <w:b/>
          <w:bCs/>
          <w:szCs w:val="22"/>
          <w:lang w:val="en-US" w:eastAsia="zh-CN"/>
        </w:rPr>
        <w:t>A</w:t>
      </w:r>
      <w:r>
        <w:rPr>
          <w:b/>
          <w:bCs/>
        </w:rPr>
        <w:t>ssociate the</w:t>
      </w:r>
      <w:r>
        <w:rPr>
          <w:b/>
          <w:bCs/>
          <w:i/>
          <w:iCs/>
          <w:color w:val="000000" w:themeColor="text1"/>
          <w14:textFill>
            <w14:solidFill>
              <w14:schemeClr w14:val="tx1"/>
            </w14:solidFill>
          </w14:textFill>
        </w:rPr>
        <w:t xml:space="preserve"> </w:t>
      </w:r>
      <w:r>
        <w:rPr>
          <w:rFonts w:hint="eastAsia"/>
          <w:b/>
          <w:bCs/>
          <w:i/>
          <w:iCs/>
          <w:color w:val="000000" w:themeColor="text1"/>
          <w:lang w:val="en-US" w:eastAsia="zh-CN"/>
          <w14:textFill>
            <w14:solidFill>
              <w14:schemeClr w14:val="tx1"/>
            </w14:solidFill>
          </w14:textFill>
        </w:rPr>
        <w:t>following parameter</w:t>
      </w:r>
      <w:r>
        <w:rPr>
          <w:b/>
          <w:bCs/>
        </w:rPr>
        <w:t xml:space="preserve"> and </w:t>
      </w:r>
      <w:r>
        <w:rPr>
          <w:rFonts w:hint="eastAsia"/>
          <w:b/>
          <w:bCs/>
          <w:lang w:val="en-US" w:eastAsia="zh-CN"/>
        </w:rPr>
        <w:t>its corresponding</w:t>
      </w:r>
      <w:r>
        <w:rPr>
          <w:b/>
          <w:bCs/>
        </w:rPr>
        <w:t xml:space="preserve"> SNPN ID implicitly</w:t>
      </w:r>
      <w:r>
        <w:rPr>
          <w:rFonts w:hint="eastAsia"/>
          <w:b/>
          <w:bCs/>
          <w:lang w:val="en-US" w:eastAsia="zh-CN"/>
        </w:rPr>
        <w:t>, resepectively. For the list for each parameter,</w:t>
      </w:r>
      <w:r>
        <w:rPr>
          <w:b/>
          <w:bCs/>
        </w:rPr>
        <w:t xml:space="preserve"> </w:t>
      </w:r>
      <w:r>
        <w:rPr>
          <w:rFonts w:hint="eastAsia"/>
          <w:b/>
          <w:bCs/>
          <w:szCs w:val="22"/>
          <w:lang w:val="en-US" w:eastAsia="zh-CN"/>
        </w:rPr>
        <w:t>it</w:t>
      </w:r>
      <w:r>
        <w:rPr>
          <w:b/>
          <w:bCs/>
          <w:szCs w:val="22"/>
        </w:rPr>
        <w:t xml:space="preserve"> shall have the same </w:t>
      </w:r>
      <w:r>
        <w:rPr>
          <w:rFonts w:hint="eastAsia"/>
          <w:b/>
          <w:bCs/>
          <w:szCs w:val="22"/>
          <w:lang w:val="en-US"/>
        </w:rPr>
        <w:t xml:space="preserve">number </w:t>
      </w:r>
      <w:r>
        <w:rPr>
          <w:b/>
          <w:bCs/>
          <w:szCs w:val="22"/>
        </w:rPr>
        <w:t>of</w:t>
      </w:r>
      <w:r>
        <w:rPr>
          <w:b/>
          <w:bCs/>
          <w:i/>
          <w:iCs/>
          <w:color w:val="000000" w:themeColor="text1"/>
          <w14:textFill>
            <w14:solidFill>
              <w14:schemeClr w14:val="tx1"/>
            </w14:solidFill>
          </w14:textFill>
        </w:rPr>
        <w:t xml:space="preserve"> </w:t>
      </w:r>
      <w:r>
        <w:rPr>
          <w:b/>
          <w:bCs/>
          <w:szCs w:val="22"/>
        </w:rPr>
        <w:t>elements as the number of NPNs in SIB1. These elements are absent for PNI-NPN.</w:t>
      </w:r>
    </w:p>
    <w:p>
      <w:pPr>
        <w:numPr>
          <w:ilvl w:val="0"/>
          <w:numId w:val="10"/>
        </w:numPr>
        <w:ind w:left="820" w:leftChars="200" w:hanging="420"/>
        <w:rPr>
          <w:b/>
          <w:bCs/>
          <w:szCs w:val="22"/>
        </w:rPr>
      </w:pPr>
      <w:r>
        <w:rPr>
          <w:b/>
          <w:bCs/>
          <w:i/>
          <w:iCs/>
          <w:color w:val="000000" w:themeColor="text1"/>
          <w14:textFill>
            <w14:solidFill>
              <w14:schemeClr w14:val="tx1"/>
            </w14:solidFill>
          </w14:textFill>
        </w:rPr>
        <w:t>ExternalCredentialsSupport</w:t>
      </w:r>
      <w:r>
        <w:rPr>
          <w:rFonts w:hint="eastAsia"/>
          <w:b/>
          <w:bCs/>
          <w:i/>
          <w:iCs/>
          <w:color w:val="000000" w:themeColor="text1"/>
          <w:lang w:val="en-US" w:eastAsia="zh-CN"/>
          <w14:textFill>
            <w14:solidFill>
              <w14:schemeClr w14:val="tx1"/>
            </w14:solidFill>
          </w14:textFill>
        </w:rPr>
        <w:t>;</w:t>
      </w:r>
    </w:p>
    <w:p>
      <w:pPr>
        <w:numPr>
          <w:ilvl w:val="0"/>
          <w:numId w:val="10"/>
        </w:numPr>
        <w:ind w:left="820" w:leftChars="200" w:hanging="420"/>
        <w:rPr>
          <w:b/>
          <w:bCs/>
          <w:szCs w:val="22"/>
        </w:rPr>
      </w:pPr>
      <w:r>
        <w:rPr>
          <w:b/>
          <w:bCs/>
          <w:lang w:val="en-US"/>
        </w:rPr>
        <w:t>supported Group IDs</w:t>
      </w:r>
      <w:r>
        <w:rPr>
          <w:rFonts w:hint="eastAsia"/>
          <w:b/>
          <w:bCs/>
          <w:lang w:val="en-US" w:eastAsia="zh-CN"/>
        </w:rPr>
        <w:t>;</w:t>
      </w:r>
    </w:p>
    <w:p>
      <w:pPr>
        <w:numPr>
          <w:ilvl w:val="0"/>
          <w:numId w:val="10"/>
        </w:numPr>
        <w:ind w:left="820" w:leftChars="200" w:hanging="420"/>
        <w:rPr>
          <w:b/>
          <w:bCs/>
          <w:szCs w:val="22"/>
        </w:rPr>
      </w:pPr>
      <w:r>
        <w:rPr>
          <w:b/>
          <w:bCs/>
          <w:i/>
          <w:iCs/>
          <w:color w:val="000000" w:themeColor="text1"/>
          <w14:textFill>
            <w14:solidFill>
              <w14:schemeClr w14:val="tx1"/>
            </w14:solidFill>
          </w14:textFill>
        </w:rPr>
        <w:t>opportunisticRegAttemptsAllowed</w:t>
      </w:r>
    </w:p>
    <w:p>
      <w:pPr>
        <w:rPr>
          <w:b/>
          <w:bCs/>
          <w:lang w:val="en-US"/>
        </w:rPr>
      </w:pPr>
      <w:bookmarkStart w:id="5" w:name="_Toc502437832"/>
      <w:r>
        <w:rPr>
          <w:b/>
          <w:bCs/>
          <w:lang w:val="en-US"/>
        </w:rPr>
        <w:t xml:space="preserve">Proposal </w:t>
      </w:r>
      <w:r>
        <w:rPr>
          <w:rFonts w:hint="eastAsia"/>
          <w:b/>
          <w:bCs/>
          <w:lang w:val="en-US" w:eastAsia="zh-CN"/>
        </w:rPr>
        <w:t>4</w:t>
      </w:r>
      <w:r>
        <w:rPr>
          <w:b/>
          <w:bCs/>
          <w:lang w:val="en-US"/>
        </w:rPr>
        <w:t xml:space="preserve">: Up to 12 </w:t>
      </w:r>
      <w:r>
        <w:rPr>
          <w:rFonts w:hint="eastAsia"/>
          <w:b/>
          <w:bCs/>
          <w:lang w:val="en-US"/>
        </w:rPr>
        <w:t>Group IDs</w:t>
      </w:r>
      <w:r>
        <w:rPr>
          <w:b/>
          <w:bCs/>
          <w:lang w:val="en-US"/>
        </w:rPr>
        <w:t xml:space="preserve"> can be broadcasted in a cell.</w:t>
      </w:r>
    </w:p>
    <w:p>
      <w:pPr>
        <w:pStyle w:val="2"/>
        <w:spacing w:before="180" w:line="240" w:lineRule="auto"/>
        <w:ind w:left="0" w:firstLine="0"/>
        <w:jc w:val="left"/>
      </w:pPr>
      <w:r>
        <w:t>Reference</w:t>
      </w:r>
    </w:p>
    <w:bookmarkEnd w:id="5"/>
    <w:p>
      <w:pPr>
        <w:numPr>
          <w:ilvl w:val="0"/>
          <w:numId w:val="11"/>
        </w:numPr>
        <w:spacing w:afterLines="50" w:line="240" w:lineRule="auto"/>
        <w:jc w:val="left"/>
        <w:rPr>
          <w:rStyle w:val="26"/>
          <w:color w:val="auto"/>
          <w:lang w:eastAsia="en-GB"/>
        </w:rPr>
      </w:pPr>
      <w:r>
        <w:t>RP-20</w:t>
      </w:r>
      <w:r>
        <w:rPr>
          <w:rFonts w:hint="eastAsia"/>
          <w:lang w:val="en-US"/>
        </w:rPr>
        <w:t>2</w:t>
      </w:r>
      <w:r>
        <w:t>3</w:t>
      </w:r>
      <w:r>
        <w:rPr>
          <w:rFonts w:hint="eastAsia"/>
          <w:lang w:val="en-US"/>
        </w:rPr>
        <w:t>63</w:t>
      </w:r>
      <w:r>
        <w:t>, “</w:t>
      </w:r>
      <w:r>
        <w:rPr>
          <w:szCs w:val="22"/>
        </w:rPr>
        <w:t xml:space="preserve">Enhancement of </w:t>
      </w:r>
      <w:r>
        <w:rPr>
          <w:rFonts w:hint="eastAsia"/>
          <w:szCs w:val="22"/>
        </w:rPr>
        <w:t>Private</w:t>
      </w:r>
      <w:r>
        <w:rPr>
          <w:szCs w:val="22"/>
        </w:rPr>
        <w:t xml:space="preserve"> N</w:t>
      </w:r>
      <w:r>
        <w:rPr>
          <w:rFonts w:hint="eastAsia"/>
          <w:szCs w:val="22"/>
        </w:rPr>
        <w:t>etwork</w:t>
      </w:r>
      <w:r>
        <w:rPr>
          <w:rFonts w:hint="eastAsia"/>
          <w:szCs w:val="22"/>
          <w:lang w:val="en-US"/>
        </w:rPr>
        <w:t xml:space="preserve"> Support</w:t>
      </w:r>
      <w:r>
        <w:rPr>
          <w:rFonts w:hint="eastAsia"/>
          <w:szCs w:val="22"/>
        </w:rPr>
        <w:t xml:space="preserve"> for </w:t>
      </w:r>
      <w:r>
        <w:rPr>
          <w:rFonts w:hint="eastAsia"/>
          <w:szCs w:val="22"/>
          <w:lang w:val="en-US"/>
        </w:rPr>
        <w:t>NG-RAN</w:t>
      </w:r>
      <w:r>
        <w:rPr>
          <w:szCs w:val="22"/>
        </w:rPr>
        <w:t>”.</w:t>
      </w:r>
    </w:p>
    <w:p>
      <w:pPr>
        <w:numPr>
          <w:ilvl w:val="0"/>
          <w:numId w:val="11"/>
        </w:numPr>
        <w:spacing w:afterLines="50" w:line="240" w:lineRule="auto"/>
        <w:jc w:val="left"/>
        <w:rPr>
          <w:rStyle w:val="26"/>
          <w:color w:val="auto"/>
          <w:lang w:eastAsia="en-GB"/>
        </w:rPr>
      </w:pPr>
      <w:r>
        <w:t>3GPP TR 2</w:t>
      </w:r>
      <w:r>
        <w:rPr>
          <w:rFonts w:hint="eastAsia"/>
          <w:lang w:val="en-US"/>
        </w:rPr>
        <w:t>3</w:t>
      </w:r>
      <w:r>
        <w:t>.</w:t>
      </w:r>
      <w:r>
        <w:rPr>
          <w:rFonts w:hint="eastAsia"/>
          <w:lang w:val="en-US"/>
        </w:rPr>
        <w:t>700-07</w:t>
      </w:r>
      <w:r>
        <w:t>, “Study on enhanced support of non-public networks”.</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E0F61"/>
    <w:multiLevelType w:val="singleLevel"/>
    <w:tmpl w:val="8F0E0F61"/>
    <w:lvl w:ilvl="0" w:tentative="0">
      <w:start w:val="1"/>
      <w:numFmt w:val="decimal"/>
      <w:suff w:val="space"/>
      <w:lvlText w:val="[%1]"/>
      <w:lvlJc w:val="left"/>
    </w:lvl>
  </w:abstractNum>
  <w:abstractNum w:abstractNumId="1">
    <w:nsid w:val="D04200DB"/>
    <w:multiLevelType w:val="singleLevel"/>
    <w:tmpl w:val="D04200DB"/>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5254"/>
        </w:tabs>
        <w:ind w:left="5254"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45D6511"/>
    <w:multiLevelType w:val="multilevel"/>
    <w:tmpl w:val="145D6511"/>
    <w:lvl w:ilvl="0" w:tentative="0">
      <w:start w:val="1"/>
      <w:numFmt w:val="bullet"/>
      <w:lvlText w:val=""/>
      <w:lvlJc w:val="left"/>
      <w:pPr>
        <w:tabs>
          <w:tab w:val="left" w:pos="720"/>
        </w:tabs>
        <w:ind w:left="720" w:hanging="360"/>
      </w:pPr>
      <w:rPr>
        <w:rFonts w:hint="default" w:ascii="Wingdings" w:hAnsi="Wingdings"/>
      </w:rPr>
    </w:lvl>
    <w:lvl w:ilvl="1" w:tentative="0">
      <w:start w:val="11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1E9E3E13"/>
    <w:multiLevelType w:val="multilevel"/>
    <w:tmpl w:val="1E9E3E13"/>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6">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97B5B8E"/>
    <w:multiLevelType w:val="multilevel"/>
    <w:tmpl w:val="397B5B8E"/>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8">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9"/>
  </w:num>
  <w:num w:numId="4">
    <w:abstractNumId w:val="4"/>
  </w:num>
  <w:num w:numId="5">
    <w:abstractNumId w:val="6"/>
  </w:num>
  <w:num w:numId="6">
    <w:abstractNumId w:val="10"/>
  </w:num>
  <w:num w:numId="7">
    <w:abstractNumId w:val="3"/>
  </w:num>
  <w:num w:numId="8">
    <w:abstractNumId w:val="7"/>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hideSpellingErrors/>
  <w:hideGrammaticalErrors/>
  <w:trackRevisions w:val="1"/>
  <w:documentProtection w:enforcement="0"/>
  <w:defaultTabStop w:val="420"/>
  <w:drawingGridVerticalSpacing w:val="200"/>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kPDWgA6zW+l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A9A"/>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0D5"/>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4FDE"/>
    <w:rsid w:val="007D5207"/>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A6"/>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AA2"/>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7C1"/>
    <w:rsid w:val="00CA68C1"/>
    <w:rsid w:val="00CA6F31"/>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EC0945"/>
    <w:rsid w:val="0E032E76"/>
    <w:rsid w:val="0E1A7A6E"/>
    <w:rsid w:val="0F277CBE"/>
    <w:rsid w:val="0F4E44CD"/>
    <w:rsid w:val="0F5775DB"/>
    <w:rsid w:val="0F6A7CBC"/>
    <w:rsid w:val="0F7B1A4D"/>
    <w:rsid w:val="0FE645EA"/>
    <w:rsid w:val="102F6227"/>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242758"/>
    <w:rsid w:val="16460857"/>
    <w:rsid w:val="165261A3"/>
    <w:rsid w:val="16CD498B"/>
    <w:rsid w:val="16F0187B"/>
    <w:rsid w:val="17336450"/>
    <w:rsid w:val="179A5D66"/>
    <w:rsid w:val="17B424AD"/>
    <w:rsid w:val="17D5696B"/>
    <w:rsid w:val="17F33C1A"/>
    <w:rsid w:val="17F7638B"/>
    <w:rsid w:val="195B4570"/>
    <w:rsid w:val="19661500"/>
    <w:rsid w:val="1A0B382C"/>
    <w:rsid w:val="1A1F5094"/>
    <w:rsid w:val="1A4E4FC4"/>
    <w:rsid w:val="1A693319"/>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A2377C"/>
    <w:rsid w:val="1EED55D2"/>
    <w:rsid w:val="1F3E5819"/>
    <w:rsid w:val="1F5117C5"/>
    <w:rsid w:val="1FA71405"/>
    <w:rsid w:val="1FB476C5"/>
    <w:rsid w:val="200E4D69"/>
    <w:rsid w:val="20271D83"/>
    <w:rsid w:val="20754C4E"/>
    <w:rsid w:val="21197E4E"/>
    <w:rsid w:val="213E5589"/>
    <w:rsid w:val="215F2B11"/>
    <w:rsid w:val="218C75F9"/>
    <w:rsid w:val="21A6528A"/>
    <w:rsid w:val="22552A5A"/>
    <w:rsid w:val="22855A55"/>
    <w:rsid w:val="22C85EA4"/>
    <w:rsid w:val="22FD1C40"/>
    <w:rsid w:val="234962C7"/>
    <w:rsid w:val="235C4321"/>
    <w:rsid w:val="23A81953"/>
    <w:rsid w:val="24060709"/>
    <w:rsid w:val="241015AB"/>
    <w:rsid w:val="247018CD"/>
    <w:rsid w:val="249E2142"/>
    <w:rsid w:val="254931B9"/>
    <w:rsid w:val="256A0A42"/>
    <w:rsid w:val="259220C0"/>
    <w:rsid w:val="25A12389"/>
    <w:rsid w:val="25E02F7C"/>
    <w:rsid w:val="25E9766E"/>
    <w:rsid w:val="26886F91"/>
    <w:rsid w:val="26892DAB"/>
    <w:rsid w:val="26C22163"/>
    <w:rsid w:val="270D05D3"/>
    <w:rsid w:val="270F41D3"/>
    <w:rsid w:val="272B5AE0"/>
    <w:rsid w:val="27CE442D"/>
    <w:rsid w:val="28206569"/>
    <w:rsid w:val="28736493"/>
    <w:rsid w:val="2876488B"/>
    <w:rsid w:val="288A4C3F"/>
    <w:rsid w:val="28923D32"/>
    <w:rsid w:val="28DE3F82"/>
    <w:rsid w:val="291E674D"/>
    <w:rsid w:val="2930699E"/>
    <w:rsid w:val="293D21E8"/>
    <w:rsid w:val="29613F65"/>
    <w:rsid w:val="29753518"/>
    <w:rsid w:val="2996283E"/>
    <w:rsid w:val="29DE305B"/>
    <w:rsid w:val="29EA7B33"/>
    <w:rsid w:val="29FF7DAC"/>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6555C3E"/>
    <w:rsid w:val="36643F61"/>
    <w:rsid w:val="36A95126"/>
    <w:rsid w:val="37293869"/>
    <w:rsid w:val="37DE7740"/>
    <w:rsid w:val="380F0E3F"/>
    <w:rsid w:val="387677CF"/>
    <w:rsid w:val="38C03DF3"/>
    <w:rsid w:val="38E716E1"/>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A22935"/>
    <w:rsid w:val="3ECA1E58"/>
    <w:rsid w:val="3ECF2BED"/>
    <w:rsid w:val="3EE51C09"/>
    <w:rsid w:val="40B3431C"/>
    <w:rsid w:val="40EB25A6"/>
    <w:rsid w:val="41105274"/>
    <w:rsid w:val="411D4A8F"/>
    <w:rsid w:val="413D63A9"/>
    <w:rsid w:val="41F77372"/>
    <w:rsid w:val="41FA1A85"/>
    <w:rsid w:val="421D708B"/>
    <w:rsid w:val="42AC2780"/>
    <w:rsid w:val="42F12569"/>
    <w:rsid w:val="43284744"/>
    <w:rsid w:val="438A4C51"/>
    <w:rsid w:val="43B41D34"/>
    <w:rsid w:val="44083412"/>
    <w:rsid w:val="445A7E15"/>
    <w:rsid w:val="447371FD"/>
    <w:rsid w:val="44A016DD"/>
    <w:rsid w:val="45060DFD"/>
    <w:rsid w:val="45086583"/>
    <w:rsid w:val="452C0A12"/>
    <w:rsid w:val="4533385E"/>
    <w:rsid w:val="458B6538"/>
    <w:rsid w:val="45D50518"/>
    <w:rsid w:val="460469DA"/>
    <w:rsid w:val="46133F4F"/>
    <w:rsid w:val="461E5D1F"/>
    <w:rsid w:val="462B3527"/>
    <w:rsid w:val="465E70ED"/>
    <w:rsid w:val="46D307FC"/>
    <w:rsid w:val="46F35A02"/>
    <w:rsid w:val="47066FA3"/>
    <w:rsid w:val="47411E5E"/>
    <w:rsid w:val="477113EE"/>
    <w:rsid w:val="47735C91"/>
    <w:rsid w:val="4789445A"/>
    <w:rsid w:val="480748C7"/>
    <w:rsid w:val="482D58D8"/>
    <w:rsid w:val="485F5007"/>
    <w:rsid w:val="48CE3146"/>
    <w:rsid w:val="48E47537"/>
    <w:rsid w:val="4911008A"/>
    <w:rsid w:val="4960185B"/>
    <w:rsid w:val="497631CF"/>
    <w:rsid w:val="49EF3957"/>
    <w:rsid w:val="4A0746BD"/>
    <w:rsid w:val="4A1A18B8"/>
    <w:rsid w:val="4A34520B"/>
    <w:rsid w:val="4AE65C4D"/>
    <w:rsid w:val="4BF01257"/>
    <w:rsid w:val="4C031F39"/>
    <w:rsid w:val="4C760E6B"/>
    <w:rsid w:val="4C8F6079"/>
    <w:rsid w:val="4CAD65FB"/>
    <w:rsid w:val="4D006E3C"/>
    <w:rsid w:val="4D096A55"/>
    <w:rsid w:val="4D0B65E0"/>
    <w:rsid w:val="4D1E740F"/>
    <w:rsid w:val="4DBC4690"/>
    <w:rsid w:val="4E4D0CAF"/>
    <w:rsid w:val="4E651F86"/>
    <w:rsid w:val="4E7F5A23"/>
    <w:rsid w:val="4E985E3A"/>
    <w:rsid w:val="4F0D6F26"/>
    <w:rsid w:val="4F647CB5"/>
    <w:rsid w:val="4F7206C6"/>
    <w:rsid w:val="4F8C7E6B"/>
    <w:rsid w:val="50220BEF"/>
    <w:rsid w:val="50786C2E"/>
    <w:rsid w:val="507C6A72"/>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5E6055"/>
    <w:rsid w:val="548F04EB"/>
    <w:rsid w:val="54906B85"/>
    <w:rsid w:val="54B16EC7"/>
    <w:rsid w:val="55183775"/>
    <w:rsid w:val="55327F44"/>
    <w:rsid w:val="554472C2"/>
    <w:rsid w:val="557D743A"/>
    <w:rsid w:val="55874E2E"/>
    <w:rsid w:val="55990E27"/>
    <w:rsid w:val="55EA579D"/>
    <w:rsid w:val="561277CB"/>
    <w:rsid w:val="56A618A5"/>
    <w:rsid w:val="56D54FE1"/>
    <w:rsid w:val="56F36D02"/>
    <w:rsid w:val="570E7DA9"/>
    <w:rsid w:val="57200603"/>
    <w:rsid w:val="579622B0"/>
    <w:rsid w:val="57E03B35"/>
    <w:rsid w:val="589C3DDA"/>
    <w:rsid w:val="592217E1"/>
    <w:rsid w:val="59335910"/>
    <w:rsid w:val="599B5B4C"/>
    <w:rsid w:val="59D83E64"/>
    <w:rsid w:val="59F46416"/>
    <w:rsid w:val="5A8B28DE"/>
    <w:rsid w:val="5A911208"/>
    <w:rsid w:val="5AEE5789"/>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977CC"/>
    <w:rsid w:val="5F797263"/>
    <w:rsid w:val="5FB106C2"/>
    <w:rsid w:val="5FD50343"/>
    <w:rsid w:val="60977830"/>
    <w:rsid w:val="60A67516"/>
    <w:rsid w:val="60F0581A"/>
    <w:rsid w:val="61302213"/>
    <w:rsid w:val="61AE79A7"/>
    <w:rsid w:val="61ED631C"/>
    <w:rsid w:val="621A5934"/>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924BEF"/>
    <w:rsid w:val="67A43A30"/>
    <w:rsid w:val="67B71B5B"/>
    <w:rsid w:val="67CC1149"/>
    <w:rsid w:val="67E15ABA"/>
    <w:rsid w:val="68200814"/>
    <w:rsid w:val="682D30E3"/>
    <w:rsid w:val="68F22C55"/>
    <w:rsid w:val="69141FE1"/>
    <w:rsid w:val="696D5887"/>
    <w:rsid w:val="69731178"/>
    <w:rsid w:val="69A14F5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2206DAD"/>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outlineLvl w:val="1"/>
    </w:pPr>
    <w:rPr>
      <w:sz w:val="28"/>
      <w:szCs w:val="32"/>
    </w:rPr>
  </w:style>
  <w:style w:type="paragraph" w:styleId="4">
    <w:name w:val="heading 3"/>
    <w:basedOn w:val="3"/>
    <w:next w:val="1"/>
    <w:link w:val="32"/>
    <w:qFormat/>
    <w:uiPriority w:val="0"/>
    <w:pPr>
      <w:spacing w:before="120"/>
      <w:outlineLvl w:val="2"/>
    </w:pPr>
    <w:rPr>
      <w:sz w:val="24"/>
      <w:szCs w:val="28"/>
    </w:rPr>
  </w:style>
  <w:style w:type="paragraph" w:styleId="5">
    <w:name w:val="heading 4"/>
    <w:basedOn w:val="4"/>
    <w:next w:val="1"/>
    <w:link w:val="33"/>
    <w:qFormat/>
    <w:uiPriority w:val="0"/>
    <w:pPr>
      <w:outlineLvl w:val="3"/>
    </w:pPr>
    <w:rPr>
      <w:sz w:val="20"/>
      <w:szCs w:val="20"/>
    </w:rPr>
  </w:style>
  <w:style w:type="paragraph" w:styleId="6">
    <w:name w:val="heading 5"/>
    <w:basedOn w:val="5"/>
    <w:next w:val="1"/>
    <w:link w:val="34"/>
    <w:qFormat/>
    <w:uiPriority w:val="0"/>
    <w:p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5"/>
    <w:semiHidden/>
    <w:unhideWhenUsed/>
    <w:qFormat/>
    <w:uiPriority w:val="99"/>
    <w:rPr>
      <w:rFonts w:ascii="宋体"/>
      <w:sz w:val="18"/>
      <w:szCs w:val="18"/>
    </w:rPr>
  </w:style>
  <w:style w:type="paragraph" w:styleId="14">
    <w:name w:val="annotation text"/>
    <w:basedOn w:val="1"/>
    <w:link w:val="48"/>
    <w:semiHidden/>
    <w:unhideWhenUsed/>
    <w:qFormat/>
    <w:uiPriority w:val="99"/>
    <w:pPr>
      <w:jc w:val="left"/>
    </w:pPr>
  </w:style>
  <w:style w:type="paragraph" w:styleId="15">
    <w:name w:val="Body Text"/>
    <w:basedOn w:val="1"/>
    <w:link w:val="68"/>
    <w:unhideWhenUsed/>
    <w:qFormat/>
    <w:uiPriority w:val="0"/>
    <w:pPr>
      <w:spacing w:line="240" w:lineRule="auto"/>
      <w:textAlignment w:val="auto"/>
    </w:pPr>
    <w:rPr>
      <w:rFonts w:ascii="Arial" w:hAnsi="Arial"/>
    </w:rPr>
  </w:style>
  <w:style w:type="paragraph" w:styleId="16">
    <w:name w:val="List 2"/>
    <w:basedOn w:val="17"/>
    <w:semiHidden/>
    <w:unhideWhenUsed/>
    <w:qFormat/>
    <w:uiPriority w:val="99"/>
    <w:pPr>
      <w:ind w:left="100" w:leftChars="200"/>
    </w:pPr>
  </w:style>
  <w:style w:type="paragraph" w:styleId="17">
    <w:name w:val="List"/>
    <w:basedOn w:val="1"/>
    <w:semiHidden/>
    <w:unhideWhenUsed/>
    <w:qFormat/>
    <w:uiPriority w:val="99"/>
    <w:pPr>
      <w:ind w:left="200" w:hanging="200" w:hangingChars="200"/>
      <w:contextualSpacing/>
    </w:pPr>
  </w:style>
  <w:style w:type="paragraph" w:styleId="18">
    <w:name w:val="Balloon Text"/>
    <w:basedOn w:val="1"/>
    <w:link w:val="43"/>
    <w:semiHidden/>
    <w:unhideWhenUsed/>
    <w:qFormat/>
    <w:uiPriority w:val="99"/>
    <w:pPr>
      <w:spacing w:after="0" w:line="240" w:lineRule="auto"/>
    </w:pPr>
    <w:rPr>
      <w:rFonts w:ascii="Lucida Grande" w:hAnsi="Lucida Grande"/>
      <w:sz w:val="18"/>
      <w:szCs w:val="18"/>
    </w:rPr>
  </w:style>
  <w:style w:type="paragraph" w:styleId="19">
    <w:name w:val="footer"/>
    <w:basedOn w:val="20"/>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annotation subject"/>
    <w:basedOn w:val="14"/>
    <w:next w:val="14"/>
    <w:link w:val="49"/>
    <w:semiHidden/>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paragraph" w:customStyle="1" w:styleId="28">
    <w:name w:val="Doc-title"/>
    <w:basedOn w:val="1"/>
    <w:next w:val="29"/>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Cs w:val="24"/>
      <w:lang w:eastAsia="en-GB"/>
    </w:rPr>
  </w:style>
  <w:style w:type="paragraph" w:customStyle="1" w:styleId="29">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lang w:eastAsia="en-GB"/>
    </w:rPr>
  </w:style>
  <w:style w:type="character" w:customStyle="1" w:styleId="30">
    <w:name w:val="标题 1 字符"/>
    <w:link w:val="2"/>
    <w:qFormat/>
    <w:uiPriority w:val="0"/>
    <w:rPr>
      <w:rFonts w:ascii="Arial" w:hAnsi="Arial"/>
      <w:sz w:val="36"/>
      <w:szCs w:val="36"/>
      <w:lang w:val="en-GB"/>
    </w:rPr>
  </w:style>
  <w:style w:type="character" w:customStyle="1" w:styleId="31">
    <w:name w:val="标题 2 字符"/>
    <w:link w:val="3"/>
    <w:qFormat/>
    <w:uiPriority w:val="0"/>
    <w:rPr>
      <w:rFonts w:ascii="Arial" w:hAnsi="Arial" w:eastAsia="宋体"/>
      <w:sz w:val="28"/>
      <w:szCs w:val="32"/>
      <w:lang w:val="en-GB"/>
    </w:rPr>
  </w:style>
  <w:style w:type="character" w:customStyle="1" w:styleId="32">
    <w:name w:val="标题 3 字符"/>
    <w:link w:val="4"/>
    <w:qFormat/>
    <w:uiPriority w:val="0"/>
    <w:rPr>
      <w:rFonts w:ascii="Arial" w:hAnsi="Arial" w:eastAsia="宋体"/>
      <w:sz w:val="24"/>
      <w:szCs w:val="28"/>
      <w:lang w:val="en-GB"/>
    </w:rPr>
  </w:style>
  <w:style w:type="character" w:customStyle="1" w:styleId="33">
    <w:name w:val="标题 4 字符"/>
    <w:link w:val="5"/>
    <w:qFormat/>
    <w:uiPriority w:val="0"/>
    <w:rPr>
      <w:rFonts w:ascii="Arial" w:hAnsi="Arial"/>
      <w:lang w:val="en-GB" w:eastAsia="zh-CN"/>
    </w:rPr>
  </w:style>
  <w:style w:type="character" w:customStyle="1" w:styleId="34">
    <w:name w:val="标题 5 字符"/>
    <w:link w:val="6"/>
    <w:qFormat/>
    <w:uiPriority w:val="0"/>
    <w:rPr>
      <w:rFonts w:ascii="Arial" w:hAnsi="Arial"/>
      <w:sz w:val="22"/>
      <w:szCs w:val="22"/>
      <w:lang w:val="en-GB" w:eastAsia="zh-CN"/>
    </w:rPr>
  </w:style>
  <w:style w:type="character" w:customStyle="1" w:styleId="35">
    <w:name w:val="标题 6 字符"/>
    <w:link w:val="7"/>
    <w:qFormat/>
    <w:uiPriority w:val="0"/>
    <w:rPr>
      <w:rFonts w:ascii="Arial" w:hAnsi="Arial"/>
      <w:sz w:val="22"/>
      <w:lang w:val="en-GB" w:eastAsia="zh-CN"/>
    </w:rPr>
  </w:style>
  <w:style w:type="character" w:customStyle="1" w:styleId="36">
    <w:name w:val="标题 7 字符"/>
    <w:link w:val="8"/>
    <w:qFormat/>
    <w:uiPriority w:val="0"/>
    <w:rPr>
      <w:rFonts w:ascii="Arial" w:hAnsi="Arial"/>
      <w:sz w:val="22"/>
      <w:lang w:val="en-GB" w:eastAsia="zh-CN"/>
    </w:rPr>
  </w:style>
  <w:style w:type="character" w:customStyle="1" w:styleId="37">
    <w:name w:val="标题 8 字符"/>
    <w:link w:val="9"/>
    <w:qFormat/>
    <w:uiPriority w:val="0"/>
    <w:rPr>
      <w:rFonts w:ascii="Arial" w:hAnsi="Arial"/>
      <w:sz w:val="22"/>
      <w:lang w:val="en-GB" w:eastAsia="zh-CN"/>
    </w:rPr>
  </w:style>
  <w:style w:type="character" w:customStyle="1" w:styleId="38">
    <w:name w:val="标题 9 字符"/>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rPr>
  </w:style>
  <w:style w:type="character" w:customStyle="1" w:styleId="40">
    <w:name w:val="页脚 字符"/>
    <w:link w:val="19"/>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字符"/>
    <w:link w:val="20"/>
    <w:qFormat/>
    <w:uiPriority w:val="99"/>
    <w:rPr>
      <w:rFonts w:ascii="Times New Roman" w:hAnsi="Times New Roman" w:eastAsia="宋体" w:cs="Times New Roman"/>
      <w:kern w:val="0"/>
      <w:sz w:val="18"/>
      <w:szCs w:val="18"/>
      <w:lang w:val="en-GB"/>
    </w:rPr>
  </w:style>
  <w:style w:type="character" w:customStyle="1" w:styleId="43">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字符"/>
    <w:link w:val="13"/>
    <w:semiHidden/>
    <w:qFormat/>
    <w:uiPriority w:val="99"/>
    <w:rPr>
      <w:rFonts w:ascii="宋体" w:hAnsi="Times New Roman" w:eastAsia="宋体" w:cs="Times New Roman"/>
      <w:kern w:val="0"/>
      <w:sz w:val="18"/>
      <w:szCs w:val="18"/>
      <w:lang w:val="en-GB"/>
    </w:rPr>
  </w:style>
  <w:style w:type="character" w:customStyle="1" w:styleId="46">
    <w:name w:val="Doc-text2 Char"/>
    <w:link w:val="29"/>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批注文字 字符"/>
    <w:link w:val="14"/>
    <w:semiHidden/>
    <w:qFormat/>
    <w:uiPriority w:val="99"/>
    <w:rPr>
      <w:rFonts w:ascii="Times New Roman" w:hAnsi="Times New Roman"/>
      <w:sz w:val="22"/>
      <w:lang w:val="en-GB"/>
    </w:rPr>
  </w:style>
  <w:style w:type="character" w:customStyle="1" w:styleId="49">
    <w:name w:val="批注主题 字符"/>
    <w:link w:val="21"/>
    <w:semiHidden/>
    <w:qFormat/>
    <w:uiPriority w:val="99"/>
    <w:rPr>
      <w:rFonts w:ascii="Times New Roman" w:hAnsi="Times New Roman"/>
      <w:b/>
      <w:bCs/>
      <w:sz w:val="22"/>
      <w:lang w:val="en-GB"/>
    </w:rPr>
  </w:style>
  <w:style w:type="table" w:customStyle="1" w:styleId="50">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qFormat/>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character" w:customStyle="1" w:styleId="56">
    <w:name w:val="Doc-title Char"/>
    <w:link w:val="28"/>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5"/>
    <w:qFormat/>
    <w:uiPriority w:val="0"/>
    <w:pPr>
      <w:numPr>
        <w:ilvl w:val="0"/>
        <w:numId w:val="2"/>
      </w:numPr>
      <w:tabs>
        <w:tab w:val="left" w:pos="1701"/>
      </w:tabs>
    </w:pPr>
    <w:rPr>
      <w:rFonts w:eastAsia="Times New Roman"/>
      <w:b/>
      <w:bCs/>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17"/>
    <w:link w:val="60"/>
    <w:qFormat/>
    <w:uiPriority w:val="0"/>
    <w:pPr>
      <w:overflowPunct/>
      <w:autoSpaceDE/>
      <w:autoSpaceDN/>
      <w:adjustRightInd/>
      <w:spacing w:after="180" w:line="240" w:lineRule="auto"/>
      <w:ind w:left="568" w:hanging="284" w:firstLineChars="0"/>
      <w:contextualSpacing w:val="0"/>
      <w:jc w:val="left"/>
      <w:textAlignment w:val="auto"/>
    </w:pPr>
    <w:rPr>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17"/>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29"/>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1"/>
    <w:link w:val="91"/>
    <w:qFormat/>
    <w:uiPriority w:val="0"/>
    <w:rPr>
      <w:rFonts w:eastAsia="Times New Roman"/>
      <w:b/>
    </w:rPr>
  </w:style>
  <w:style w:type="character" w:customStyle="1" w:styleId="86">
    <w:name w:val="列表段落 字符"/>
    <w:link w:val="71"/>
    <w:qFormat/>
    <w:uiPriority w:val="34"/>
    <w:rPr>
      <w:rFonts w:ascii="Times New Roman" w:hAnsi="Times New Roman" w:eastAsia="MS Gothic"/>
      <w:sz w:val="24"/>
      <w:szCs w:val="24"/>
      <w:lang w:val="en-GB" w:eastAsia="en-US"/>
    </w:rPr>
  </w:style>
  <w:style w:type="paragraph" w:customStyle="1" w:styleId="87">
    <w:name w:val="Editor's Note"/>
    <w:basedOn w:val="88"/>
    <w:link w:val="90"/>
    <w:qFormat/>
    <w:uiPriority w:val="0"/>
    <w:pPr>
      <w:tabs>
        <w:tab w:val="left" w:pos="432"/>
      </w:tabs>
    </w:pPr>
    <w:rPr>
      <w:color w:val="FF0000"/>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2"/>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paragraph" w:customStyle="1" w:styleId="101">
    <w:name w:val="Comments"/>
    <w:basedOn w:val="1"/>
    <w:qFormat/>
    <w:uiPriority w:val="0"/>
    <w:rPr>
      <w:i/>
      <w:sz w:val="18"/>
    </w:rPr>
  </w:style>
  <w:style w:type="paragraph" w:customStyle="1" w:styleId="102">
    <w:name w:val="IvD Instructiontext"/>
    <w:basedOn w:val="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03">
    <w:name w:val="IvD bodytext Char"/>
    <w:basedOn w:val="24"/>
    <w:link w:val="104"/>
    <w:qFormat/>
    <w:uiPriority w:val="0"/>
    <w:rPr>
      <w:spacing w:val="2"/>
      <w:lang w:val="en-US" w:eastAsia="en-US"/>
    </w:rPr>
  </w:style>
  <w:style w:type="paragraph" w:customStyle="1" w:styleId="104">
    <w:name w:val="IvD bodytext"/>
    <w:basedOn w:val="15"/>
    <w:link w:val="10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105">
    <w:name w:val="NO Zchn"/>
    <w:qFormat/>
    <w:locked/>
    <w:uiPriority w:val="0"/>
    <w:rPr>
      <w:lang w:val="en-GB" w:eastAsia="en-US"/>
    </w:rPr>
  </w:style>
  <w:style w:type="table" w:customStyle="1" w:styleId="106">
    <w:name w:val="网格型1"/>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2"/>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AFC83-04CF-4A64-BFBC-F940FF85E3E7}">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3</Pages>
  <Words>1306</Words>
  <Characters>7449</Characters>
  <Lines>62</Lines>
  <Paragraphs>17</Paragraphs>
  <TotalTime>2</TotalTime>
  <ScaleCrop>false</ScaleCrop>
  <LinksUpToDate>false</LinksUpToDate>
  <CharactersWithSpaces>8738</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vivo-yanxia</cp:lastModifiedBy>
  <cp:lastPrinted>2018-04-04T09:40:00Z</cp:lastPrinted>
  <dcterms:modified xsi:type="dcterms:W3CDTF">2021-04-02T07:11:43Z</dcterms:modified>
  <cp:revision>6011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2052-11.1.0.10446</vt:lpwstr>
  </property>
  <property fmtid="{D5CDD505-2E9C-101B-9397-08002B2CF9AE}" pid="4" name="ICV">
    <vt:lpwstr>80EDB93847B146B0B5026CF628256E8C</vt:lpwstr>
  </property>
</Properties>
</file>